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D4D9F" w14:textId="73880B27" w:rsidR="00EE7A94" w:rsidRPr="0099056E" w:rsidRDefault="0023346A" w:rsidP="0099056E">
      <w:pPr>
        <w:jc w:val="center"/>
        <w:rPr>
          <w:b/>
          <w:u w:val="single"/>
          <w:lang w:val="en-US"/>
        </w:rPr>
      </w:pPr>
      <w:r w:rsidRPr="0099056E">
        <w:rPr>
          <w:b/>
          <w:u w:val="single"/>
          <w:lang w:val="en-US"/>
        </w:rPr>
        <w:t>HKCA Examiners Performance Rubric</w:t>
      </w:r>
    </w:p>
    <w:p w14:paraId="4520DF17" w14:textId="662923C5" w:rsidR="0023346A" w:rsidRDefault="0023346A">
      <w:pPr>
        <w:rPr>
          <w:lang w:val="en-US"/>
        </w:rPr>
      </w:pPr>
      <w:bookmarkStart w:id="0" w:name="_GoBack"/>
      <w:bookmarkEnd w:id="0"/>
    </w:p>
    <w:p w14:paraId="534E28B0" w14:textId="0EA0168B" w:rsidR="006819B6" w:rsidRDefault="006819B6">
      <w:pPr>
        <w:rPr>
          <w:lang w:val="en-US"/>
        </w:rPr>
      </w:pPr>
      <w:r>
        <w:rPr>
          <w:lang w:val="en-US"/>
        </w:rPr>
        <w:t>Name of examiner:  ______________________________________________</w:t>
      </w:r>
    </w:p>
    <w:p w14:paraId="433D7EB6" w14:textId="43AA1F9F" w:rsidR="006819B6" w:rsidRDefault="006819B6">
      <w:pPr>
        <w:rPr>
          <w:lang w:val="en-US"/>
        </w:rPr>
      </w:pPr>
      <w:r>
        <w:rPr>
          <w:lang w:val="en-US"/>
        </w:rPr>
        <w:t>Name of assessor: _______________________________________________</w:t>
      </w:r>
    </w:p>
    <w:p w14:paraId="51038D6F" w14:textId="018AB0CC" w:rsidR="006819B6" w:rsidRDefault="006819B6" w:rsidP="006819B6">
      <w:pPr>
        <w:rPr>
          <w:lang w:val="en-US"/>
        </w:rPr>
      </w:pPr>
      <w:r>
        <w:rPr>
          <w:lang w:val="en-US"/>
        </w:rPr>
        <w:t>Date of examination: _____________________________________________</w:t>
      </w:r>
      <w:r w:rsidR="00734583">
        <w:rPr>
          <w:lang w:val="en-US"/>
        </w:rPr>
        <w:br/>
      </w:r>
    </w:p>
    <w:p w14:paraId="1587E40D" w14:textId="77777777" w:rsidR="00BD6245" w:rsidRDefault="006819B6" w:rsidP="006819B6">
      <w:pPr>
        <w:rPr>
          <w:lang w:val="en-US"/>
        </w:rPr>
      </w:pPr>
      <w:r>
        <w:rPr>
          <w:lang w:val="en-US"/>
        </w:rPr>
        <w:t xml:space="preserve">Section of examination: </w:t>
      </w:r>
    </w:p>
    <w:p w14:paraId="67363A32" w14:textId="5BD856D4" w:rsidR="006819B6" w:rsidRDefault="001C22DD" w:rsidP="006819B6">
      <w:pPr>
        <w:rPr>
          <w:lang w:val="en-US"/>
        </w:rPr>
      </w:pPr>
      <w:r>
        <w:rPr>
          <w:rFonts w:ascii="Wingdings" w:hAnsi="Wingdings"/>
          <w:lang w:val="en-US"/>
        </w:rPr>
        <w:t></w:t>
      </w:r>
      <w:r>
        <w:rPr>
          <w:rFonts w:ascii="wing ding" w:hAnsi="wing ding"/>
          <w:lang w:val="en-US"/>
        </w:rPr>
        <w:t xml:space="preserve"> </w:t>
      </w:r>
      <w:r>
        <w:rPr>
          <w:lang w:val="en-US"/>
        </w:rPr>
        <w:t>Mock</w:t>
      </w:r>
      <w:r w:rsidR="00BD6245">
        <w:rPr>
          <w:lang w:val="en-US"/>
        </w:rPr>
        <w:t xml:space="preserve"> Exam</w:t>
      </w:r>
      <w:r>
        <w:rPr>
          <w:lang w:val="en-US"/>
        </w:rPr>
        <w:tab/>
      </w:r>
    </w:p>
    <w:p w14:paraId="1AD9DEED" w14:textId="69829C12" w:rsidR="006819B6" w:rsidRDefault="006819B6" w:rsidP="006819B6">
      <w:pPr>
        <w:rPr>
          <w:lang w:val="en-US"/>
        </w:rPr>
      </w:pPr>
      <w:r>
        <w:rPr>
          <w:rFonts w:ascii="Wingdings" w:hAnsi="Wingdings"/>
          <w:lang w:val="en-US"/>
        </w:rPr>
        <w:t></w:t>
      </w:r>
      <w:r>
        <w:rPr>
          <w:rFonts w:ascii="wing ding" w:hAnsi="wing ding"/>
          <w:lang w:val="en-US"/>
        </w:rPr>
        <w:t xml:space="preserve"> </w:t>
      </w:r>
      <w:r>
        <w:rPr>
          <w:lang w:val="en-US"/>
        </w:rPr>
        <w:t>Intermediate written examination</w:t>
      </w:r>
      <w:r>
        <w:rPr>
          <w:lang w:val="en-US"/>
        </w:rPr>
        <w:tab/>
      </w:r>
      <w:r>
        <w:rPr>
          <w:lang w:val="en-US"/>
        </w:rPr>
        <w:tab/>
      </w:r>
      <w:r>
        <w:rPr>
          <w:rFonts w:ascii="Wingdings" w:hAnsi="Wingdings"/>
          <w:lang w:val="en-US"/>
        </w:rPr>
        <w:t></w:t>
      </w:r>
      <w:r>
        <w:rPr>
          <w:lang w:val="en-US"/>
        </w:rPr>
        <w:t xml:space="preserve"> Intermediate oral examination</w:t>
      </w:r>
    </w:p>
    <w:p w14:paraId="2E7E579A" w14:textId="520C3F08" w:rsidR="006819B6" w:rsidRDefault="006819B6" w:rsidP="006819B6">
      <w:pPr>
        <w:rPr>
          <w:lang w:val="en-US"/>
        </w:rPr>
      </w:pPr>
      <w:r>
        <w:rPr>
          <w:rFonts w:ascii="Wingdings" w:hAnsi="Wingdings"/>
          <w:lang w:val="en-US"/>
        </w:rPr>
        <w:t></w:t>
      </w:r>
      <w:r>
        <w:rPr>
          <w:lang w:val="en-US"/>
        </w:rPr>
        <w:t xml:space="preserve"> Final written examination</w:t>
      </w:r>
      <w:r>
        <w:rPr>
          <w:lang w:val="en-US"/>
        </w:rPr>
        <w:tab/>
      </w:r>
      <w:r>
        <w:rPr>
          <w:rFonts w:ascii="Wingdings" w:hAnsi="Wingdings"/>
          <w:lang w:val="en-US"/>
        </w:rPr>
        <w:t></w:t>
      </w:r>
      <w:r>
        <w:rPr>
          <w:lang w:val="en-US"/>
        </w:rPr>
        <w:t xml:space="preserve"> Final oral examination</w:t>
      </w:r>
      <w:r>
        <w:rPr>
          <w:lang w:val="en-US"/>
        </w:rPr>
        <w:tab/>
      </w:r>
      <w:r>
        <w:rPr>
          <w:rFonts w:ascii="Wingdings" w:hAnsi="Wingdings"/>
          <w:lang w:val="en-US"/>
        </w:rPr>
        <w:t></w:t>
      </w:r>
      <w:r>
        <w:rPr>
          <w:lang w:val="en-US"/>
        </w:rPr>
        <w:t xml:space="preserve"> Final OSCE examination</w:t>
      </w:r>
    </w:p>
    <w:p w14:paraId="44DA23F1" w14:textId="2E585989" w:rsidR="0023346A" w:rsidRDefault="0023346A">
      <w:pPr>
        <w:rPr>
          <w:lang w:val="en-US"/>
        </w:rPr>
      </w:pPr>
    </w:p>
    <w:tbl>
      <w:tblPr>
        <w:tblStyle w:val="TableGrid"/>
        <w:tblW w:w="9776" w:type="dxa"/>
        <w:tblLook w:val="04A0" w:firstRow="1" w:lastRow="0" w:firstColumn="1" w:lastColumn="0" w:noHBand="0" w:noVBand="1"/>
      </w:tblPr>
      <w:tblGrid>
        <w:gridCol w:w="2550"/>
        <w:gridCol w:w="2095"/>
        <w:gridCol w:w="1866"/>
        <w:gridCol w:w="3265"/>
      </w:tblGrid>
      <w:tr w:rsidR="00D40885" w14:paraId="6DA8F898" w14:textId="04017B81" w:rsidTr="00BD6245">
        <w:tc>
          <w:tcPr>
            <w:tcW w:w="2550" w:type="dxa"/>
          </w:tcPr>
          <w:p w14:paraId="0DFF38DB" w14:textId="052A2D68" w:rsidR="00D40885" w:rsidRDefault="00D40885">
            <w:pPr>
              <w:rPr>
                <w:lang w:val="en-US"/>
              </w:rPr>
            </w:pPr>
            <w:r>
              <w:rPr>
                <w:lang w:val="en-US"/>
              </w:rPr>
              <w:t>Domain</w:t>
            </w:r>
          </w:p>
        </w:tc>
        <w:tc>
          <w:tcPr>
            <w:tcW w:w="2095" w:type="dxa"/>
          </w:tcPr>
          <w:p w14:paraId="1334DA57" w14:textId="6561DB98" w:rsidR="00D40885" w:rsidRDefault="00D40885">
            <w:pPr>
              <w:rPr>
                <w:lang w:val="en-US"/>
              </w:rPr>
            </w:pPr>
            <w:r>
              <w:rPr>
                <w:lang w:val="en-US"/>
              </w:rPr>
              <w:t xml:space="preserve">Rating </w:t>
            </w:r>
          </w:p>
        </w:tc>
        <w:tc>
          <w:tcPr>
            <w:tcW w:w="1866" w:type="dxa"/>
          </w:tcPr>
          <w:p w14:paraId="506EC843" w14:textId="6BF59802" w:rsidR="00D40885" w:rsidRDefault="00D40885">
            <w:pPr>
              <w:rPr>
                <w:lang w:val="en-US"/>
              </w:rPr>
            </w:pPr>
            <w:r>
              <w:rPr>
                <w:lang w:val="en-US"/>
              </w:rPr>
              <w:t>Feedback</w:t>
            </w:r>
          </w:p>
        </w:tc>
        <w:tc>
          <w:tcPr>
            <w:tcW w:w="3265" w:type="dxa"/>
          </w:tcPr>
          <w:p w14:paraId="47EBAC79" w14:textId="47422ABF" w:rsidR="00D40885" w:rsidRDefault="00D40885">
            <w:pPr>
              <w:rPr>
                <w:lang w:val="en-US"/>
              </w:rPr>
            </w:pPr>
            <w:r>
              <w:rPr>
                <w:lang w:val="en-US"/>
              </w:rPr>
              <w:t>Description</w:t>
            </w:r>
          </w:p>
        </w:tc>
      </w:tr>
      <w:tr w:rsidR="00D40885" w14:paraId="226FF8A2" w14:textId="37448908" w:rsidTr="00BD6245">
        <w:tc>
          <w:tcPr>
            <w:tcW w:w="9776" w:type="dxa"/>
            <w:gridSpan w:val="4"/>
            <w:shd w:val="clear" w:color="auto" w:fill="AEAAAA" w:themeFill="background2" w:themeFillShade="BF"/>
          </w:tcPr>
          <w:p w14:paraId="5B49C109" w14:textId="45059B3D" w:rsidR="00D40885" w:rsidRDefault="00D40885" w:rsidP="00DF6185">
            <w:pPr>
              <w:jc w:val="both"/>
              <w:rPr>
                <w:lang w:val="en-US"/>
              </w:rPr>
            </w:pPr>
            <w:r w:rsidRPr="00DF6185">
              <w:rPr>
                <w:lang w:val="en-US"/>
              </w:rPr>
              <w:t>Knowledge</w:t>
            </w:r>
          </w:p>
        </w:tc>
      </w:tr>
      <w:tr w:rsidR="00D40885" w14:paraId="1FEA637A" w14:textId="77777777" w:rsidTr="00BD6245">
        <w:tc>
          <w:tcPr>
            <w:tcW w:w="2550" w:type="dxa"/>
          </w:tcPr>
          <w:p w14:paraId="00BE4789" w14:textId="7377E189" w:rsidR="00D40885" w:rsidRPr="00DF6185" w:rsidRDefault="00D40885" w:rsidP="00DF6185">
            <w:pPr>
              <w:pStyle w:val="ListParagraph"/>
              <w:numPr>
                <w:ilvl w:val="0"/>
                <w:numId w:val="3"/>
              </w:numPr>
              <w:rPr>
                <w:lang w:val="en-US"/>
              </w:rPr>
            </w:pPr>
            <w:r w:rsidRPr="00DF6185">
              <w:rPr>
                <w:lang w:val="en-US"/>
              </w:rPr>
              <w:t>Understanding of Curriculum</w:t>
            </w:r>
          </w:p>
        </w:tc>
        <w:tc>
          <w:tcPr>
            <w:tcW w:w="2095" w:type="dxa"/>
          </w:tcPr>
          <w:p w14:paraId="1ECAF6BD" w14:textId="77777777" w:rsidR="00D40885" w:rsidRDefault="00D40885" w:rsidP="00977CCC">
            <w:pPr>
              <w:rPr>
                <w:lang w:val="en-US"/>
              </w:rPr>
            </w:pPr>
          </w:p>
        </w:tc>
        <w:tc>
          <w:tcPr>
            <w:tcW w:w="1866" w:type="dxa"/>
          </w:tcPr>
          <w:p w14:paraId="4DA1E142" w14:textId="77777777" w:rsidR="00D40885" w:rsidRDefault="00D40885" w:rsidP="00977CCC">
            <w:pPr>
              <w:rPr>
                <w:lang w:val="en-US"/>
              </w:rPr>
            </w:pPr>
          </w:p>
        </w:tc>
        <w:tc>
          <w:tcPr>
            <w:tcW w:w="3265" w:type="dxa"/>
          </w:tcPr>
          <w:p w14:paraId="6B686B54" w14:textId="65939EF5" w:rsidR="00D40885" w:rsidRDefault="00D40885" w:rsidP="00977CCC">
            <w:pPr>
              <w:rPr>
                <w:lang w:val="en-US"/>
              </w:rPr>
            </w:pPr>
            <w:r>
              <w:rPr>
                <w:lang w:val="en-US"/>
              </w:rPr>
              <w:t>Examiner is able to blueprint questions against the curriculum</w:t>
            </w:r>
            <w:r w:rsidR="0009603B">
              <w:rPr>
                <w:lang w:val="en-US"/>
              </w:rPr>
              <w:t xml:space="preserve"> and demonstrate in-depth understanding of the curriculum</w:t>
            </w:r>
          </w:p>
        </w:tc>
      </w:tr>
      <w:tr w:rsidR="00D40885" w14:paraId="4AC4BFAB" w14:textId="77777777" w:rsidTr="00BD6245">
        <w:tc>
          <w:tcPr>
            <w:tcW w:w="2550" w:type="dxa"/>
          </w:tcPr>
          <w:p w14:paraId="7DF6F50A" w14:textId="20720D59" w:rsidR="00D40885" w:rsidRPr="008976CC" w:rsidRDefault="00D40885" w:rsidP="008976CC">
            <w:pPr>
              <w:pStyle w:val="ListParagraph"/>
              <w:numPr>
                <w:ilvl w:val="0"/>
                <w:numId w:val="3"/>
              </w:numPr>
              <w:rPr>
                <w:lang w:val="en-US"/>
              </w:rPr>
            </w:pPr>
            <w:r>
              <w:rPr>
                <w:lang w:val="en-US"/>
              </w:rPr>
              <w:t>Familiarity with exam material</w:t>
            </w:r>
          </w:p>
        </w:tc>
        <w:tc>
          <w:tcPr>
            <w:tcW w:w="2095" w:type="dxa"/>
          </w:tcPr>
          <w:p w14:paraId="062389E8" w14:textId="77777777" w:rsidR="00D40885" w:rsidRDefault="00D40885" w:rsidP="00977CCC">
            <w:pPr>
              <w:rPr>
                <w:lang w:val="en-US"/>
              </w:rPr>
            </w:pPr>
          </w:p>
        </w:tc>
        <w:tc>
          <w:tcPr>
            <w:tcW w:w="1866" w:type="dxa"/>
          </w:tcPr>
          <w:p w14:paraId="27718415" w14:textId="77777777" w:rsidR="00D40885" w:rsidRDefault="00D40885" w:rsidP="008976CC">
            <w:pPr>
              <w:rPr>
                <w:lang w:val="en-US"/>
              </w:rPr>
            </w:pPr>
          </w:p>
        </w:tc>
        <w:tc>
          <w:tcPr>
            <w:tcW w:w="3265" w:type="dxa"/>
          </w:tcPr>
          <w:p w14:paraId="1C6E33C5" w14:textId="564B726C" w:rsidR="00D40885" w:rsidRDefault="00D40885" w:rsidP="008976CC">
            <w:pPr>
              <w:rPr>
                <w:lang w:val="en-US"/>
              </w:rPr>
            </w:pPr>
            <w:r>
              <w:rPr>
                <w:lang w:val="en-US"/>
              </w:rPr>
              <w:t>Examiner is able to consistently demonstrate good understanding of responsible exam topics, and is up-to-date with latest evidence and practice</w:t>
            </w:r>
          </w:p>
        </w:tc>
      </w:tr>
      <w:tr w:rsidR="00D40885" w14:paraId="2B689C48" w14:textId="377F5AE6" w:rsidTr="00BD6245">
        <w:tc>
          <w:tcPr>
            <w:tcW w:w="2550" w:type="dxa"/>
          </w:tcPr>
          <w:p w14:paraId="3CA23399" w14:textId="35304089" w:rsidR="00D40885" w:rsidRPr="00867409" w:rsidRDefault="00D40885" w:rsidP="00867409">
            <w:pPr>
              <w:pStyle w:val="ListParagraph"/>
              <w:numPr>
                <w:ilvl w:val="0"/>
                <w:numId w:val="3"/>
              </w:numPr>
              <w:rPr>
                <w:lang w:val="en-US"/>
              </w:rPr>
            </w:pPr>
            <w:r>
              <w:rPr>
                <w:lang w:val="en-US"/>
              </w:rPr>
              <w:t>Familiarity with exam logistics</w:t>
            </w:r>
          </w:p>
        </w:tc>
        <w:tc>
          <w:tcPr>
            <w:tcW w:w="2095" w:type="dxa"/>
          </w:tcPr>
          <w:p w14:paraId="35A238C5" w14:textId="77777777" w:rsidR="00D40885" w:rsidRDefault="00D40885">
            <w:pPr>
              <w:rPr>
                <w:lang w:val="en-US"/>
              </w:rPr>
            </w:pPr>
          </w:p>
        </w:tc>
        <w:tc>
          <w:tcPr>
            <w:tcW w:w="1866" w:type="dxa"/>
          </w:tcPr>
          <w:p w14:paraId="1279D2FA" w14:textId="77777777" w:rsidR="00D40885" w:rsidRDefault="00D40885">
            <w:pPr>
              <w:rPr>
                <w:lang w:val="en-US"/>
              </w:rPr>
            </w:pPr>
          </w:p>
        </w:tc>
        <w:tc>
          <w:tcPr>
            <w:tcW w:w="3265" w:type="dxa"/>
          </w:tcPr>
          <w:p w14:paraId="2BCF0139" w14:textId="6EE8704D" w:rsidR="00D40885" w:rsidRDefault="00D40885">
            <w:pPr>
              <w:rPr>
                <w:lang w:val="en-US"/>
              </w:rPr>
            </w:pPr>
            <w:r>
              <w:rPr>
                <w:lang w:val="en-US"/>
              </w:rPr>
              <w:t>Examiner is able to demonstrate good understanding of the logistics of the running of the examination</w:t>
            </w:r>
          </w:p>
        </w:tc>
      </w:tr>
      <w:tr w:rsidR="00982393" w14:paraId="1BC1B97E" w14:textId="14791EB2" w:rsidTr="00BD6245">
        <w:tc>
          <w:tcPr>
            <w:tcW w:w="9776" w:type="dxa"/>
            <w:gridSpan w:val="4"/>
            <w:shd w:val="clear" w:color="auto" w:fill="AEAAAA" w:themeFill="background2" w:themeFillShade="BF"/>
          </w:tcPr>
          <w:p w14:paraId="059B5175" w14:textId="5F417C31" w:rsidR="00982393" w:rsidRDefault="00982393">
            <w:pPr>
              <w:rPr>
                <w:lang w:val="en-US"/>
              </w:rPr>
            </w:pPr>
            <w:r w:rsidRPr="00DF6185">
              <w:rPr>
                <w:lang w:val="en-US"/>
              </w:rPr>
              <w:t>Skills</w:t>
            </w:r>
          </w:p>
        </w:tc>
      </w:tr>
      <w:tr w:rsidR="00343366" w:rsidRPr="00343366" w14:paraId="25F86FA3" w14:textId="3290B139" w:rsidTr="00BD6245">
        <w:tc>
          <w:tcPr>
            <w:tcW w:w="9776" w:type="dxa"/>
            <w:gridSpan w:val="4"/>
          </w:tcPr>
          <w:p w14:paraId="73EBA8A0" w14:textId="18B82DE5" w:rsidR="00343366" w:rsidRPr="00343366" w:rsidRDefault="00343366" w:rsidP="00977CCC">
            <w:pPr>
              <w:rPr>
                <w:b/>
                <w:bCs/>
                <w:lang w:val="en-US"/>
              </w:rPr>
            </w:pPr>
            <w:r w:rsidRPr="00343366">
              <w:rPr>
                <w:b/>
                <w:bCs/>
                <w:lang w:val="en-US"/>
              </w:rPr>
              <w:t>Written</w:t>
            </w:r>
          </w:p>
        </w:tc>
      </w:tr>
      <w:tr w:rsidR="00E31E5F" w14:paraId="714A35A4" w14:textId="77777777" w:rsidTr="00BD6245">
        <w:tc>
          <w:tcPr>
            <w:tcW w:w="2550" w:type="dxa"/>
          </w:tcPr>
          <w:p w14:paraId="2DC25A02" w14:textId="618E7372" w:rsidR="00E31E5F" w:rsidRPr="00E31E5F" w:rsidRDefault="00AC0879" w:rsidP="00E31E5F">
            <w:pPr>
              <w:pStyle w:val="ListParagraph"/>
              <w:numPr>
                <w:ilvl w:val="0"/>
                <w:numId w:val="6"/>
              </w:numPr>
              <w:rPr>
                <w:lang w:val="en-US"/>
              </w:rPr>
            </w:pPr>
            <w:r>
              <w:rPr>
                <w:lang w:val="en-US"/>
              </w:rPr>
              <w:t>Content of questions</w:t>
            </w:r>
          </w:p>
        </w:tc>
        <w:tc>
          <w:tcPr>
            <w:tcW w:w="2095" w:type="dxa"/>
          </w:tcPr>
          <w:p w14:paraId="1403CF5A" w14:textId="77777777" w:rsidR="00E31E5F" w:rsidRDefault="00E31E5F" w:rsidP="00977CCC">
            <w:pPr>
              <w:rPr>
                <w:lang w:val="en-US"/>
              </w:rPr>
            </w:pPr>
          </w:p>
        </w:tc>
        <w:tc>
          <w:tcPr>
            <w:tcW w:w="1866" w:type="dxa"/>
          </w:tcPr>
          <w:p w14:paraId="71367441" w14:textId="77777777" w:rsidR="00E31E5F" w:rsidRDefault="00E31E5F" w:rsidP="00977CCC">
            <w:pPr>
              <w:rPr>
                <w:lang w:val="en-US"/>
              </w:rPr>
            </w:pPr>
          </w:p>
        </w:tc>
        <w:tc>
          <w:tcPr>
            <w:tcW w:w="3265" w:type="dxa"/>
          </w:tcPr>
          <w:p w14:paraId="5116C32B" w14:textId="447DDF83" w:rsidR="00E31E5F" w:rsidRDefault="00E31E5F" w:rsidP="00977CCC">
            <w:pPr>
              <w:rPr>
                <w:lang w:val="en-US"/>
              </w:rPr>
            </w:pPr>
            <w:r>
              <w:rPr>
                <w:lang w:val="en-US"/>
              </w:rPr>
              <w:t>Questions are clear</w:t>
            </w:r>
            <w:r w:rsidR="00F5689B">
              <w:rPr>
                <w:lang w:val="en-US"/>
              </w:rPr>
              <w:t>,</w:t>
            </w:r>
            <w:r>
              <w:rPr>
                <w:lang w:val="en-US"/>
              </w:rPr>
              <w:t xml:space="preserve"> and relevant to the curriculum and/or clinical practice </w:t>
            </w:r>
          </w:p>
        </w:tc>
      </w:tr>
      <w:tr w:rsidR="00E31E5F" w14:paraId="7F5C0CB3" w14:textId="77777777" w:rsidTr="00BD6245">
        <w:tc>
          <w:tcPr>
            <w:tcW w:w="2550" w:type="dxa"/>
          </w:tcPr>
          <w:p w14:paraId="46F8B96E" w14:textId="240F07D6" w:rsidR="00E31E5F" w:rsidRPr="00AC0879" w:rsidRDefault="00AC0879" w:rsidP="00AC0879">
            <w:pPr>
              <w:pStyle w:val="ListParagraph"/>
              <w:numPr>
                <w:ilvl w:val="0"/>
                <w:numId w:val="6"/>
              </w:numPr>
              <w:rPr>
                <w:lang w:val="en-US"/>
              </w:rPr>
            </w:pPr>
            <w:r>
              <w:rPr>
                <w:lang w:val="en-US"/>
              </w:rPr>
              <w:t>Practicality of questions</w:t>
            </w:r>
          </w:p>
        </w:tc>
        <w:tc>
          <w:tcPr>
            <w:tcW w:w="2095" w:type="dxa"/>
          </w:tcPr>
          <w:p w14:paraId="4EEE9DAE" w14:textId="77777777" w:rsidR="00E31E5F" w:rsidRDefault="00E31E5F" w:rsidP="00977CCC">
            <w:pPr>
              <w:rPr>
                <w:lang w:val="en-US"/>
              </w:rPr>
            </w:pPr>
          </w:p>
        </w:tc>
        <w:tc>
          <w:tcPr>
            <w:tcW w:w="1866" w:type="dxa"/>
          </w:tcPr>
          <w:p w14:paraId="33240B8E" w14:textId="77777777" w:rsidR="00E31E5F" w:rsidRDefault="00E31E5F" w:rsidP="00977CCC">
            <w:pPr>
              <w:rPr>
                <w:lang w:val="en-US"/>
              </w:rPr>
            </w:pPr>
          </w:p>
        </w:tc>
        <w:tc>
          <w:tcPr>
            <w:tcW w:w="3265" w:type="dxa"/>
          </w:tcPr>
          <w:p w14:paraId="08DC1D48" w14:textId="19117F43" w:rsidR="00E31E5F" w:rsidRDefault="00F5689B" w:rsidP="00977CCC">
            <w:pPr>
              <w:rPr>
                <w:lang w:val="en-US"/>
              </w:rPr>
            </w:pPr>
            <w:r>
              <w:rPr>
                <w:lang w:val="en-US"/>
              </w:rPr>
              <w:t xml:space="preserve">Questions and </w:t>
            </w:r>
            <w:r w:rsidR="0008650B">
              <w:rPr>
                <w:lang w:val="en-US"/>
              </w:rPr>
              <w:t>expected answers</w:t>
            </w:r>
            <w:r>
              <w:rPr>
                <w:lang w:val="en-US"/>
              </w:rPr>
              <w:t xml:space="preserve"> are set in a way such that it is feasible for the candidates to answer in the allotted amount of time</w:t>
            </w:r>
          </w:p>
        </w:tc>
      </w:tr>
      <w:tr w:rsidR="00E31E5F" w14:paraId="6A308C9A" w14:textId="77777777" w:rsidTr="00BD6245">
        <w:tc>
          <w:tcPr>
            <w:tcW w:w="2550" w:type="dxa"/>
          </w:tcPr>
          <w:p w14:paraId="09601C0D" w14:textId="5C9D8CCD" w:rsidR="00BD6245" w:rsidRDefault="00AC0879" w:rsidP="00AC0879">
            <w:pPr>
              <w:pStyle w:val="ListParagraph"/>
              <w:numPr>
                <w:ilvl w:val="0"/>
                <w:numId w:val="6"/>
              </w:numPr>
              <w:rPr>
                <w:lang w:val="en-US"/>
              </w:rPr>
            </w:pPr>
            <w:r>
              <w:rPr>
                <w:lang w:val="en-US"/>
              </w:rPr>
              <w:t>Marking scheme</w:t>
            </w:r>
          </w:p>
          <w:p w14:paraId="674B3D17" w14:textId="77777777" w:rsidR="00BD6245" w:rsidRPr="00BD6245" w:rsidRDefault="00BD6245" w:rsidP="00BD6245">
            <w:pPr>
              <w:rPr>
                <w:lang w:val="en-US"/>
              </w:rPr>
            </w:pPr>
          </w:p>
          <w:p w14:paraId="053E4703" w14:textId="77777777" w:rsidR="00BD6245" w:rsidRPr="00BD6245" w:rsidRDefault="00BD6245" w:rsidP="00BD6245">
            <w:pPr>
              <w:rPr>
                <w:lang w:val="en-US"/>
              </w:rPr>
            </w:pPr>
          </w:p>
          <w:p w14:paraId="72DB64FC" w14:textId="77777777" w:rsidR="00BD6245" w:rsidRPr="00BD6245" w:rsidRDefault="00BD6245" w:rsidP="00BD6245">
            <w:pPr>
              <w:rPr>
                <w:lang w:val="en-US"/>
              </w:rPr>
            </w:pPr>
          </w:p>
          <w:p w14:paraId="46A80942" w14:textId="77777777" w:rsidR="00BD6245" w:rsidRPr="00BD6245" w:rsidRDefault="00BD6245" w:rsidP="00BD6245">
            <w:pPr>
              <w:rPr>
                <w:lang w:val="en-US"/>
              </w:rPr>
            </w:pPr>
          </w:p>
          <w:p w14:paraId="1280F88F" w14:textId="77777777" w:rsidR="00BD6245" w:rsidRPr="00BD6245" w:rsidRDefault="00BD6245" w:rsidP="00BD6245">
            <w:pPr>
              <w:rPr>
                <w:lang w:val="en-US"/>
              </w:rPr>
            </w:pPr>
          </w:p>
          <w:p w14:paraId="232F88C3" w14:textId="377805BD" w:rsidR="00E31E5F" w:rsidRPr="00BD6245" w:rsidRDefault="00E31E5F" w:rsidP="00BD6245">
            <w:pPr>
              <w:jc w:val="right"/>
              <w:rPr>
                <w:lang w:val="en-US"/>
              </w:rPr>
            </w:pPr>
          </w:p>
        </w:tc>
        <w:tc>
          <w:tcPr>
            <w:tcW w:w="2095" w:type="dxa"/>
          </w:tcPr>
          <w:p w14:paraId="4720DD4A" w14:textId="77777777" w:rsidR="00E31E5F" w:rsidRDefault="00E31E5F" w:rsidP="00977CCC">
            <w:pPr>
              <w:rPr>
                <w:lang w:val="en-US"/>
              </w:rPr>
            </w:pPr>
          </w:p>
        </w:tc>
        <w:tc>
          <w:tcPr>
            <w:tcW w:w="1866" w:type="dxa"/>
          </w:tcPr>
          <w:p w14:paraId="52D62D0F" w14:textId="77777777" w:rsidR="00E31E5F" w:rsidRDefault="00E31E5F" w:rsidP="00977CCC">
            <w:pPr>
              <w:rPr>
                <w:lang w:val="en-US"/>
              </w:rPr>
            </w:pPr>
          </w:p>
        </w:tc>
        <w:tc>
          <w:tcPr>
            <w:tcW w:w="3265" w:type="dxa"/>
          </w:tcPr>
          <w:p w14:paraId="7D8B75BB" w14:textId="548B8794" w:rsidR="00E31E5F" w:rsidRDefault="00343366" w:rsidP="00977CCC">
            <w:pPr>
              <w:rPr>
                <w:lang w:val="en-US"/>
              </w:rPr>
            </w:pPr>
            <w:r>
              <w:rPr>
                <w:lang w:val="en-US"/>
              </w:rPr>
              <w:t>The marking scheme is relevant, fair and can clearly differentiate candidates who are poorly fail, borderline fail, pass, or outstanding.</w:t>
            </w:r>
            <w:r w:rsidR="00931057">
              <w:rPr>
                <w:lang w:val="en-US"/>
              </w:rPr>
              <w:t xml:space="preserve"> Any college examiner can use the marking scheme to accurately </w:t>
            </w:r>
            <w:r w:rsidR="00931057">
              <w:rPr>
                <w:lang w:val="en-US"/>
              </w:rPr>
              <w:lastRenderedPageBreak/>
              <w:t>assess candidates’ knowledge and performance</w:t>
            </w:r>
          </w:p>
        </w:tc>
      </w:tr>
      <w:tr w:rsidR="00D40885" w14:paraId="3EF7479C" w14:textId="32B108EC" w:rsidTr="00BD6245">
        <w:tc>
          <w:tcPr>
            <w:tcW w:w="2550" w:type="dxa"/>
          </w:tcPr>
          <w:p w14:paraId="46DF8F44" w14:textId="25FFF3C8" w:rsidR="00D40885" w:rsidRPr="00AC0879" w:rsidRDefault="00AC0879" w:rsidP="00AC0879">
            <w:pPr>
              <w:pStyle w:val="ListParagraph"/>
              <w:numPr>
                <w:ilvl w:val="0"/>
                <w:numId w:val="6"/>
              </w:numPr>
              <w:rPr>
                <w:lang w:val="en-US"/>
              </w:rPr>
            </w:pPr>
            <w:r>
              <w:rPr>
                <w:lang w:val="en-US"/>
              </w:rPr>
              <w:lastRenderedPageBreak/>
              <w:t>Scoring</w:t>
            </w:r>
          </w:p>
        </w:tc>
        <w:tc>
          <w:tcPr>
            <w:tcW w:w="2095" w:type="dxa"/>
          </w:tcPr>
          <w:p w14:paraId="0987EF62" w14:textId="77777777" w:rsidR="00D40885" w:rsidRDefault="00D40885" w:rsidP="00977CCC">
            <w:pPr>
              <w:rPr>
                <w:lang w:val="en-US"/>
              </w:rPr>
            </w:pPr>
          </w:p>
        </w:tc>
        <w:tc>
          <w:tcPr>
            <w:tcW w:w="1866" w:type="dxa"/>
          </w:tcPr>
          <w:p w14:paraId="65367306" w14:textId="77777777" w:rsidR="00D40885" w:rsidRDefault="00D40885" w:rsidP="00977CCC">
            <w:pPr>
              <w:rPr>
                <w:lang w:val="en-US"/>
              </w:rPr>
            </w:pPr>
          </w:p>
        </w:tc>
        <w:tc>
          <w:tcPr>
            <w:tcW w:w="3265" w:type="dxa"/>
          </w:tcPr>
          <w:p w14:paraId="4CB016E2" w14:textId="355AD462" w:rsidR="00D40885" w:rsidRDefault="00D06B33" w:rsidP="00977CCC">
            <w:pPr>
              <w:rPr>
                <w:lang w:val="en-US"/>
              </w:rPr>
            </w:pPr>
            <w:r>
              <w:rPr>
                <w:lang w:val="en-US"/>
              </w:rPr>
              <w:t xml:space="preserve">The scoring of the answers </w:t>
            </w:r>
            <w:proofErr w:type="gramStart"/>
            <w:r>
              <w:rPr>
                <w:lang w:val="en-US"/>
              </w:rPr>
              <w:t>are</w:t>
            </w:r>
            <w:proofErr w:type="gramEnd"/>
            <w:r>
              <w:rPr>
                <w:lang w:val="en-US"/>
              </w:rPr>
              <w:t xml:space="preserve"> based on the marking scheme, and are unbiased and reasonable</w:t>
            </w:r>
          </w:p>
        </w:tc>
      </w:tr>
      <w:tr w:rsidR="00343366" w:rsidRPr="00343366" w14:paraId="397E3970" w14:textId="1A6AAB14" w:rsidTr="00BD6245">
        <w:tc>
          <w:tcPr>
            <w:tcW w:w="9776" w:type="dxa"/>
            <w:gridSpan w:val="4"/>
          </w:tcPr>
          <w:p w14:paraId="0931E2FB" w14:textId="79F67F9D" w:rsidR="00343366" w:rsidRPr="00343366" w:rsidRDefault="00343366" w:rsidP="00977CCC">
            <w:pPr>
              <w:rPr>
                <w:b/>
                <w:bCs/>
                <w:lang w:val="en-US"/>
              </w:rPr>
            </w:pPr>
            <w:r w:rsidRPr="00343366">
              <w:rPr>
                <w:b/>
                <w:bCs/>
                <w:lang w:val="en-US"/>
              </w:rPr>
              <w:t>OSCE</w:t>
            </w:r>
          </w:p>
        </w:tc>
      </w:tr>
      <w:tr w:rsidR="00290FCA" w14:paraId="7343F57A" w14:textId="77777777" w:rsidTr="00BD6245">
        <w:tc>
          <w:tcPr>
            <w:tcW w:w="2550" w:type="dxa"/>
          </w:tcPr>
          <w:p w14:paraId="4471B512" w14:textId="77777777" w:rsidR="00290FCA" w:rsidRPr="00E31E5F" w:rsidRDefault="00290FCA" w:rsidP="00290FCA">
            <w:pPr>
              <w:pStyle w:val="ListParagraph"/>
              <w:numPr>
                <w:ilvl w:val="0"/>
                <w:numId w:val="7"/>
              </w:numPr>
              <w:rPr>
                <w:lang w:val="en-US"/>
              </w:rPr>
            </w:pPr>
            <w:r>
              <w:rPr>
                <w:lang w:val="en-US"/>
              </w:rPr>
              <w:t>Content of questions</w:t>
            </w:r>
          </w:p>
        </w:tc>
        <w:tc>
          <w:tcPr>
            <w:tcW w:w="2095" w:type="dxa"/>
          </w:tcPr>
          <w:p w14:paraId="593C4D01" w14:textId="77777777" w:rsidR="00290FCA" w:rsidRDefault="00290FCA" w:rsidP="00290FCA">
            <w:pPr>
              <w:rPr>
                <w:lang w:val="en-US"/>
              </w:rPr>
            </w:pPr>
          </w:p>
        </w:tc>
        <w:tc>
          <w:tcPr>
            <w:tcW w:w="1866" w:type="dxa"/>
          </w:tcPr>
          <w:p w14:paraId="7962F48E" w14:textId="77777777" w:rsidR="00290FCA" w:rsidRDefault="00290FCA" w:rsidP="00290FCA">
            <w:pPr>
              <w:rPr>
                <w:lang w:val="en-US"/>
              </w:rPr>
            </w:pPr>
          </w:p>
        </w:tc>
        <w:tc>
          <w:tcPr>
            <w:tcW w:w="3265" w:type="dxa"/>
          </w:tcPr>
          <w:p w14:paraId="644CD994" w14:textId="041F2EE6" w:rsidR="00290FCA" w:rsidRDefault="00290FCA" w:rsidP="00290FCA">
            <w:pPr>
              <w:rPr>
                <w:lang w:val="en-US"/>
              </w:rPr>
            </w:pPr>
            <w:r>
              <w:rPr>
                <w:lang w:val="en-US"/>
              </w:rPr>
              <w:t xml:space="preserve">Questions are clear, and relevant to the curriculum and/or clinical practice </w:t>
            </w:r>
          </w:p>
        </w:tc>
      </w:tr>
      <w:tr w:rsidR="00290FCA" w14:paraId="20C269EC" w14:textId="77777777" w:rsidTr="00BD6245">
        <w:tc>
          <w:tcPr>
            <w:tcW w:w="2550" w:type="dxa"/>
          </w:tcPr>
          <w:p w14:paraId="112D4D0C" w14:textId="77777777" w:rsidR="00290FCA" w:rsidRPr="00AC0879" w:rsidRDefault="00290FCA" w:rsidP="00290FCA">
            <w:pPr>
              <w:pStyle w:val="ListParagraph"/>
              <w:numPr>
                <w:ilvl w:val="0"/>
                <w:numId w:val="7"/>
              </w:numPr>
              <w:rPr>
                <w:lang w:val="en-US"/>
              </w:rPr>
            </w:pPr>
            <w:r>
              <w:rPr>
                <w:lang w:val="en-US"/>
              </w:rPr>
              <w:t>Practicality of questions</w:t>
            </w:r>
          </w:p>
        </w:tc>
        <w:tc>
          <w:tcPr>
            <w:tcW w:w="2095" w:type="dxa"/>
          </w:tcPr>
          <w:p w14:paraId="11F1856D" w14:textId="77777777" w:rsidR="00290FCA" w:rsidRDefault="00290FCA" w:rsidP="00290FCA">
            <w:pPr>
              <w:rPr>
                <w:lang w:val="en-US"/>
              </w:rPr>
            </w:pPr>
          </w:p>
        </w:tc>
        <w:tc>
          <w:tcPr>
            <w:tcW w:w="1866" w:type="dxa"/>
          </w:tcPr>
          <w:p w14:paraId="799865AF" w14:textId="77777777" w:rsidR="00290FCA" w:rsidRDefault="00290FCA" w:rsidP="00290FCA">
            <w:pPr>
              <w:rPr>
                <w:lang w:val="en-US"/>
              </w:rPr>
            </w:pPr>
          </w:p>
        </w:tc>
        <w:tc>
          <w:tcPr>
            <w:tcW w:w="3265" w:type="dxa"/>
          </w:tcPr>
          <w:p w14:paraId="6681E887" w14:textId="16E8CA04" w:rsidR="00290FCA" w:rsidRDefault="00290FCA" w:rsidP="00290FCA">
            <w:pPr>
              <w:rPr>
                <w:lang w:val="en-US"/>
              </w:rPr>
            </w:pPr>
            <w:r>
              <w:rPr>
                <w:lang w:val="en-US"/>
              </w:rPr>
              <w:t xml:space="preserve">Questions and </w:t>
            </w:r>
            <w:r w:rsidR="000243D5">
              <w:rPr>
                <w:lang w:val="en-US"/>
              </w:rPr>
              <w:t>expected answers</w:t>
            </w:r>
            <w:r>
              <w:rPr>
                <w:lang w:val="en-US"/>
              </w:rPr>
              <w:t xml:space="preserve"> are set in a way such that it is feasible for the candidates to answer in the allotted amount of time</w:t>
            </w:r>
          </w:p>
        </w:tc>
      </w:tr>
      <w:tr w:rsidR="00290FCA" w14:paraId="269F63F4" w14:textId="77777777" w:rsidTr="00BD6245">
        <w:tc>
          <w:tcPr>
            <w:tcW w:w="2550" w:type="dxa"/>
          </w:tcPr>
          <w:p w14:paraId="5D664545" w14:textId="6EA76602" w:rsidR="00290FCA" w:rsidRPr="00AC0879" w:rsidRDefault="00290FCA" w:rsidP="00290FCA">
            <w:pPr>
              <w:pStyle w:val="ListParagraph"/>
              <w:numPr>
                <w:ilvl w:val="0"/>
                <w:numId w:val="7"/>
              </w:numPr>
              <w:rPr>
                <w:lang w:val="en-US"/>
              </w:rPr>
            </w:pPr>
            <w:r>
              <w:rPr>
                <w:lang w:val="en-US"/>
              </w:rPr>
              <w:t>Marking scheme</w:t>
            </w:r>
          </w:p>
        </w:tc>
        <w:tc>
          <w:tcPr>
            <w:tcW w:w="2095" w:type="dxa"/>
          </w:tcPr>
          <w:p w14:paraId="377C4D4C" w14:textId="77777777" w:rsidR="00290FCA" w:rsidRDefault="00290FCA" w:rsidP="00290FCA">
            <w:pPr>
              <w:rPr>
                <w:lang w:val="en-US"/>
              </w:rPr>
            </w:pPr>
          </w:p>
        </w:tc>
        <w:tc>
          <w:tcPr>
            <w:tcW w:w="1866" w:type="dxa"/>
          </w:tcPr>
          <w:p w14:paraId="36AE1F4C" w14:textId="77777777" w:rsidR="00290FCA" w:rsidRDefault="00290FCA" w:rsidP="00290FCA">
            <w:pPr>
              <w:rPr>
                <w:lang w:val="en-US"/>
              </w:rPr>
            </w:pPr>
          </w:p>
        </w:tc>
        <w:tc>
          <w:tcPr>
            <w:tcW w:w="3265" w:type="dxa"/>
          </w:tcPr>
          <w:p w14:paraId="50F37369" w14:textId="46649FA7" w:rsidR="00290FCA" w:rsidRDefault="00290FCA" w:rsidP="00290FCA">
            <w:pPr>
              <w:rPr>
                <w:lang w:val="en-US"/>
              </w:rPr>
            </w:pPr>
            <w:r>
              <w:rPr>
                <w:lang w:val="en-US"/>
              </w:rPr>
              <w:t>The marking scheme is relevant, fair and can clearly differentiate candidates who are poorly fail, borderline fail, pass, or outstanding.</w:t>
            </w:r>
            <w:r w:rsidR="00931057">
              <w:rPr>
                <w:lang w:val="en-US"/>
              </w:rPr>
              <w:t xml:space="preserve"> Any college examiner can use the marking scheme to accurately assess candidates’ knowledge and performance</w:t>
            </w:r>
          </w:p>
        </w:tc>
      </w:tr>
      <w:tr w:rsidR="00290FCA" w14:paraId="41E0C168" w14:textId="77777777" w:rsidTr="00BD6245">
        <w:tc>
          <w:tcPr>
            <w:tcW w:w="2550" w:type="dxa"/>
          </w:tcPr>
          <w:p w14:paraId="3325BB98" w14:textId="1AC0EEFA" w:rsidR="00290FCA" w:rsidRDefault="00290FCA" w:rsidP="00290FCA">
            <w:pPr>
              <w:pStyle w:val="ListParagraph"/>
              <w:numPr>
                <w:ilvl w:val="0"/>
                <w:numId w:val="7"/>
              </w:numPr>
              <w:rPr>
                <w:lang w:val="en-US"/>
              </w:rPr>
            </w:pPr>
            <w:r>
              <w:rPr>
                <w:lang w:val="en-US"/>
              </w:rPr>
              <w:t>Conduct of OSCE</w:t>
            </w:r>
            <w:r w:rsidR="00294976">
              <w:rPr>
                <w:lang w:val="en-US"/>
              </w:rPr>
              <w:t xml:space="preserve"> </w:t>
            </w:r>
            <w:r w:rsidR="00953F14">
              <w:rPr>
                <w:lang w:val="en-US"/>
              </w:rPr>
              <w:t>–</w:t>
            </w:r>
            <w:r w:rsidR="00070F82">
              <w:rPr>
                <w:lang w:val="en-US"/>
              </w:rPr>
              <w:t xml:space="preserve"> </w:t>
            </w:r>
            <w:r w:rsidR="00294976">
              <w:rPr>
                <w:lang w:val="en-US"/>
              </w:rPr>
              <w:t>standardization</w:t>
            </w:r>
          </w:p>
        </w:tc>
        <w:tc>
          <w:tcPr>
            <w:tcW w:w="2095" w:type="dxa"/>
          </w:tcPr>
          <w:p w14:paraId="499A7D66" w14:textId="77777777" w:rsidR="00290FCA" w:rsidRDefault="00290FCA" w:rsidP="00290FCA">
            <w:pPr>
              <w:rPr>
                <w:lang w:val="en-US"/>
              </w:rPr>
            </w:pPr>
          </w:p>
        </w:tc>
        <w:tc>
          <w:tcPr>
            <w:tcW w:w="1866" w:type="dxa"/>
          </w:tcPr>
          <w:p w14:paraId="46C9A153" w14:textId="77777777" w:rsidR="00290FCA" w:rsidRDefault="00290FCA" w:rsidP="00290FCA">
            <w:pPr>
              <w:rPr>
                <w:lang w:val="en-US"/>
              </w:rPr>
            </w:pPr>
          </w:p>
        </w:tc>
        <w:tc>
          <w:tcPr>
            <w:tcW w:w="3265" w:type="dxa"/>
          </w:tcPr>
          <w:p w14:paraId="403EBCE0" w14:textId="2EDC33E6" w:rsidR="00290FCA" w:rsidRDefault="00B15BED" w:rsidP="00290FCA">
            <w:pPr>
              <w:rPr>
                <w:lang w:val="en-US"/>
              </w:rPr>
            </w:pPr>
            <w:r>
              <w:rPr>
                <w:lang w:val="en-US"/>
              </w:rPr>
              <w:t xml:space="preserve">The conduct of OSCE is standard across all candidates, </w:t>
            </w:r>
            <w:r w:rsidR="00E36EA7">
              <w:rPr>
                <w:lang w:val="en-US"/>
              </w:rPr>
              <w:t xml:space="preserve">ranging </w:t>
            </w:r>
            <w:r w:rsidR="00821D00">
              <w:rPr>
                <w:lang w:val="en-US"/>
              </w:rPr>
              <w:t xml:space="preserve">from questioning technique, flow of OSCE station </w:t>
            </w:r>
            <w:r w:rsidR="00E36EA7">
              <w:rPr>
                <w:lang w:val="en-US"/>
              </w:rPr>
              <w:t>to</w:t>
            </w:r>
            <w:r w:rsidR="00821D00">
              <w:rPr>
                <w:lang w:val="en-US"/>
              </w:rPr>
              <w:t xml:space="preserve"> timing</w:t>
            </w:r>
          </w:p>
        </w:tc>
      </w:tr>
      <w:tr w:rsidR="00294976" w14:paraId="24121481" w14:textId="77777777" w:rsidTr="00BD6245">
        <w:tc>
          <w:tcPr>
            <w:tcW w:w="2550" w:type="dxa"/>
          </w:tcPr>
          <w:p w14:paraId="3DDAA34F" w14:textId="668C42C1" w:rsidR="00294976" w:rsidRDefault="00784C83" w:rsidP="00290FCA">
            <w:pPr>
              <w:pStyle w:val="ListParagraph"/>
              <w:numPr>
                <w:ilvl w:val="0"/>
                <w:numId w:val="7"/>
              </w:numPr>
              <w:rPr>
                <w:lang w:val="en-US"/>
              </w:rPr>
            </w:pPr>
            <w:r>
              <w:rPr>
                <w:lang w:val="en-US"/>
              </w:rPr>
              <w:t>Communication</w:t>
            </w:r>
          </w:p>
        </w:tc>
        <w:tc>
          <w:tcPr>
            <w:tcW w:w="2095" w:type="dxa"/>
          </w:tcPr>
          <w:p w14:paraId="07B7DCE7" w14:textId="77777777" w:rsidR="00294976" w:rsidRDefault="00294976" w:rsidP="00290FCA">
            <w:pPr>
              <w:rPr>
                <w:lang w:val="en-US"/>
              </w:rPr>
            </w:pPr>
          </w:p>
        </w:tc>
        <w:tc>
          <w:tcPr>
            <w:tcW w:w="1866" w:type="dxa"/>
          </w:tcPr>
          <w:p w14:paraId="33A23D2C" w14:textId="77777777" w:rsidR="00294976" w:rsidRDefault="00294976" w:rsidP="00290FCA">
            <w:pPr>
              <w:rPr>
                <w:lang w:val="en-US"/>
              </w:rPr>
            </w:pPr>
          </w:p>
        </w:tc>
        <w:tc>
          <w:tcPr>
            <w:tcW w:w="3265" w:type="dxa"/>
          </w:tcPr>
          <w:p w14:paraId="72117DC0" w14:textId="7155695D" w:rsidR="00294976" w:rsidRDefault="00E94358" w:rsidP="00290FCA">
            <w:pPr>
              <w:rPr>
                <w:lang w:val="en-US"/>
              </w:rPr>
            </w:pPr>
            <w:r>
              <w:rPr>
                <w:lang w:val="en-US"/>
              </w:rPr>
              <w:t>Non-threatening and does not ask ambiguous questions</w:t>
            </w:r>
            <w:r w:rsidR="00333A86">
              <w:rPr>
                <w:lang w:val="en-US"/>
              </w:rPr>
              <w:t xml:space="preserve">; </w:t>
            </w:r>
            <w:r w:rsidR="00A77615">
              <w:rPr>
                <w:lang w:val="en-US"/>
              </w:rPr>
              <w:t>no inappropriate prompting of candidates</w:t>
            </w:r>
            <w:r w:rsidR="000113E7">
              <w:rPr>
                <w:lang w:val="en-US"/>
              </w:rPr>
              <w:t>, and does not collaborate to provide answers</w:t>
            </w:r>
            <w:r w:rsidR="003660EA">
              <w:rPr>
                <w:lang w:val="en-US"/>
              </w:rPr>
              <w:t>; clarifies ambiguous answers</w:t>
            </w:r>
          </w:p>
        </w:tc>
      </w:tr>
      <w:tr w:rsidR="00290FCA" w14:paraId="239C689A" w14:textId="77777777" w:rsidTr="00BD6245">
        <w:tc>
          <w:tcPr>
            <w:tcW w:w="2550" w:type="dxa"/>
          </w:tcPr>
          <w:p w14:paraId="4BCA5531" w14:textId="77777777" w:rsidR="00290FCA" w:rsidRPr="00AC0879" w:rsidRDefault="00290FCA" w:rsidP="00290FCA">
            <w:pPr>
              <w:pStyle w:val="ListParagraph"/>
              <w:numPr>
                <w:ilvl w:val="0"/>
                <w:numId w:val="7"/>
              </w:numPr>
              <w:rPr>
                <w:lang w:val="en-US"/>
              </w:rPr>
            </w:pPr>
            <w:r>
              <w:rPr>
                <w:lang w:val="en-US"/>
              </w:rPr>
              <w:t>Scoring</w:t>
            </w:r>
          </w:p>
        </w:tc>
        <w:tc>
          <w:tcPr>
            <w:tcW w:w="2095" w:type="dxa"/>
          </w:tcPr>
          <w:p w14:paraId="2C331291" w14:textId="77777777" w:rsidR="00290FCA" w:rsidRDefault="00290FCA" w:rsidP="00290FCA">
            <w:pPr>
              <w:rPr>
                <w:lang w:val="en-US"/>
              </w:rPr>
            </w:pPr>
          </w:p>
        </w:tc>
        <w:tc>
          <w:tcPr>
            <w:tcW w:w="1866" w:type="dxa"/>
          </w:tcPr>
          <w:p w14:paraId="3E5C0F61" w14:textId="77777777" w:rsidR="00290FCA" w:rsidRDefault="00290FCA" w:rsidP="00290FCA">
            <w:pPr>
              <w:rPr>
                <w:lang w:val="en-US"/>
              </w:rPr>
            </w:pPr>
          </w:p>
        </w:tc>
        <w:tc>
          <w:tcPr>
            <w:tcW w:w="3265" w:type="dxa"/>
          </w:tcPr>
          <w:p w14:paraId="6CC6D9BF" w14:textId="798B69B3" w:rsidR="00290FCA" w:rsidRDefault="00290FCA" w:rsidP="00290FCA">
            <w:pPr>
              <w:rPr>
                <w:lang w:val="en-US"/>
              </w:rPr>
            </w:pPr>
            <w:r>
              <w:rPr>
                <w:lang w:val="en-US"/>
              </w:rPr>
              <w:t xml:space="preserve">The scoring of the answers </w:t>
            </w:r>
            <w:proofErr w:type="gramStart"/>
            <w:r>
              <w:rPr>
                <w:lang w:val="en-US"/>
              </w:rPr>
              <w:t>are</w:t>
            </w:r>
            <w:proofErr w:type="gramEnd"/>
            <w:r>
              <w:rPr>
                <w:lang w:val="en-US"/>
              </w:rPr>
              <w:t xml:space="preserve"> based on the marking scheme, and are unbiased and reasonable</w:t>
            </w:r>
          </w:p>
        </w:tc>
      </w:tr>
      <w:tr w:rsidR="00290FCA" w:rsidRPr="00343366" w14:paraId="51B483B0" w14:textId="2E2CD2F3" w:rsidTr="00BD6245">
        <w:tc>
          <w:tcPr>
            <w:tcW w:w="9776" w:type="dxa"/>
            <w:gridSpan w:val="4"/>
          </w:tcPr>
          <w:p w14:paraId="08A57BB0" w14:textId="2AB650B3" w:rsidR="00290FCA" w:rsidRPr="00343366" w:rsidRDefault="00290FCA" w:rsidP="00290FCA">
            <w:pPr>
              <w:rPr>
                <w:b/>
                <w:bCs/>
                <w:lang w:val="en-US"/>
              </w:rPr>
            </w:pPr>
            <w:r w:rsidRPr="00343366">
              <w:rPr>
                <w:b/>
                <w:bCs/>
                <w:lang w:val="en-US"/>
              </w:rPr>
              <w:t>Oral</w:t>
            </w:r>
          </w:p>
        </w:tc>
      </w:tr>
      <w:tr w:rsidR="00F05E40" w14:paraId="4262E678" w14:textId="77777777" w:rsidTr="00BD6245">
        <w:tc>
          <w:tcPr>
            <w:tcW w:w="2550" w:type="dxa"/>
          </w:tcPr>
          <w:p w14:paraId="245CCF76" w14:textId="77777777" w:rsidR="00F05E40" w:rsidRPr="00E31E5F" w:rsidRDefault="00F05E40" w:rsidP="00F05E40">
            <w:pPr>
              <w:pStyle w:val="ListParagraph"/>
              <w:numPr>
                <w:ilvl w:val="0"/>
                <w:numId w:val="9"/>
              </w:numPr>
              <w:rPr>
                <w:lang w:val="en-US"/>
              </w:rPr>
            </w:pPr>
            <w:r>
              <w:rPr>
                <w:lang w:val="en-US"/>
              </w:rPr>
              <w:t>Content of questions</w:t>
            </w:r>
          </w:p>
        </w:tc>
        <w:tc>
          <w:tcPr>
            <w:tcW w:w="2095" w:type="dxa"/>
          </w:tcPr>
          <w:p w14:paraId="178FAD06" w14:textId="77777777" w:rsidR="00F05E40" w:rsidRDefault="00F05E40" w:rsidP="00977CCC">
            <w:pPr>
              <w:rPr>
                <w:lang w:val="en-US"/>
              </w:rPr>
            </w:pPr>
          </w:p>
        </w:tc>
        <w:tc>
          <w:tcPr>
            <w:tcW w:w="1866" w:type="dxa"/>
          </w:tcPr>
          <w:p w14:paraId="7DED79C5" w14:textId="77777777" w:rsidR="00F05E40" w:rsidRDefault="00F05E40" w:rsidP="00977CCC">
            <w:pPr>
              <w:rPr>
                <w:lang w:val="en-US"/>
              </w:rPr>
            </w:pPr>
          </w:p>
        </w:tc>
        <w:tc>
          <w:tcPr>
            <w:tcW w:w="3265" w:type="dxa"/>
          </w:tcPr>
          <w:p w14:paraId="1A657C6B" w14:textId="77777777" w:rsidR="00F05E40" w:rsidRDefault="00F05E40" w:rsidP="00977CCC">
            <w:pPr>
              <w:rPr>
                <w:lang w:val="en-US"/>
              </w:rPr>
            </w:pPr>
            <w:r>
              <w:rPr>
                <w:lang w:val="en-US"/>
              </w:rPr>
              <w:t xml:space="preserve">Questions are clear, and relevant to the curriculum and/or clinical practice </w:t>
            </w:r>
          </w:p>
        </w:tc>
      </w:tr>
      <w:tr w:rsidR="00F05E40" w14:paraId="5403DBCA" w14:textId="77777777" w:rsidTr="00BD6245">
        <w:tc>
          <w:tcPr>
            <w:tcW w:w="2550" w:type="dxa"/>
          </w:tcPr>
          <w:p w14:paraId="67305C03" w14:textId="77777777" w:rsidR="00F05E40" w:rsidRPr="00AC0879" w:rsidRDefault="00F05E40" w:rsidP="00F05E40">
            <w:pPr>
              <w:pStyle w:val="ListParagraph"/>
              <w:numPr>
                <w:ilvl w:val="0"/>
                <w:numId w:val="9"/>
              </w:numPr>
              <w:rPr>
                <w:lang w:val="en-US"/>
              </w:rPr>
            </w:pPr>
            <w:r>
              <w:rPr>
                <w:lang w:val="en-US"/>
              </w:rPr>
              <w:t>Practicality of questions</w:t>
            </w:r>
          </w:p>
        </w:tc>
        <w:tc>
          <w:tcPr>
            <w:tcW w:w="2095" w:type="dxa"/>
          </w:tcPr>
          <w:p w14:paraId="4546D7CD" w14:textId="77777777" w:rsidR="00F05E40" w:rsidRDefault="00F05E40" w:rsidP="00977CCC">
            <w:pPr>
              <w:rPr>
                <w:lang w:val="en-US"/>
              </w:rPr>
            </w:pPr>
          </w:p>
        </w:tc>
        <w:tc>
          <w:tcPr>
            <w:tcW w:w="1866" w:type="dxa"/>
          </w:tcPr>
          <w:p w14:paraId="49D19EDA" w14:textId="77777777" w:rsidR="00F05E40" w:rsidRDefault="00F05E40" w:rsidP="00977CCC">
            <w:pPr>
              <w:rPr>
                <w:lang w:val="en-US"/>
              </w:rPr>
            </w:pPr>
          </w:p>
        </w:tc>
        <w:tc>
          <w:tcPr>
            <w:tcW w:w="3265" w:type="dxa"/>
          </w:tcPr>
          <w:p w14:paraId="09C7E0B3" w14:textId="77777777" w:rsidR="00F05E40" w:rsidRDefault="00F05E40" w:rsidP="00977CCC">
            <w:pPr>
              <w:rPr>
                <w:lang w:val="en-US"/>
              </w:rPr>
            </w:pPr>
            <w:r>
              <w:rPr>
                <w:lang w:val="en-US"/>
              </w:rPr>
              <w:t xml:space="preserve">Questions and expected answers are set in a way such that it is feasible for the </w:t>
            </w:r>
            <w:r>
              <w:rPr>
                <w:lang w:val="en-US"/>
              </w:rPr>
              <w:lastRenderedPageBreak/>
              <w:t>candidates to answer in the allotted amount of time</w:t>
            </w:r>
          </w:p>
        </w:tc>
      </w:tr>
      <w:tr w:rsidR="00F05E40" w14:paraId="7DCDB6CE" w14:textId="77777777" w:rsidTr="00BD6245">
        <w:tc>
          <w:tcPr>
            <w:tcW w:w="2550" w:type="dxa"/>
          </w:tcPr>
          <w:p w14:paraId="3313A708" w14:textId="77777777" w:rsidR="00F05E40" w:rsidRPr="00AC0879" w:rsidRDefault="00F05E40" w:rsidP="00F05E40">
            <w:pPr>
              <w:pStyle w:val="ListParagraph"/>
              <w:numPr>
                <w:ilvl w:val="0"/>
                <w:numId w:val="9"/>
              </w:numPr>
              <w:rPr>
                <w:lang w:val="en-US"/>
              </w:rPr>
            </w:pPr>
            <w:r>
              <w:rPr>
                <w:lang w:val="en-US"/>
              </w:rPr>
              <w:lastRenderedPageBreak/>
              <w:t>Marking scheme</w:t>
            </w:r>
          </w:p>
        </w:tc>
        <w:tc>
          <w:tcPr>
            <w:tcW w:w="2095" w:type="dxa"/>
          </w:tcPr>
          <w:p w14:paraId="13FB9ECC" w14:textId="77777777" w:rsidR="00F05E40" w:rsidRDefault="00F05E40" w:rsidP="00977CCC">
            <w:pPr>
              <w:rPr>
                <w:lang w:val="en-US"/>
              </w:rPr>
            </w:pPr>
          </w:p>
        </w:tc>
        <w:tc>
          <w:tcPr>
            <w:tcW w:w="1866" w:type="dxa"/>
          </w:tcPr>
          <w:p w14:paraId="3707B720" w14:textId="77777777" w:rsidR="00F05E40" w:rsidRDefault="00F05E40" w:rsidP="00977CCC">
            <w:pPr>
              <w:rPr>
                <w:lang w:val="en-US"/>
              </w:rPr>
            </w:pPr>
          </w:p>
        </w:tc>
        <w:tc>
          <w:tcPr>
            <w:tcW w:w="3265" w:type="dxa"/>
          </w:tcPr>
          <w:p w14:paraId="3E091740" w14:textId="77777777" w:rsidR="00F05E40" w:rsidRDefault="00F05E40" w:rsidP="00977CCC">
            <w:pPr>
              <w:rPr>
                <w:lang w:val="en-US"/>
              </w:rPr>
            </w:pPr>
            <w:r>
              <w:rPr>
                <w:lang w:val="en-US"/>
              </w:rPr>
              <w:t>The marking scheme is relevant, fair and can clearly differentiate candidates who are poorly fail, borderline fail, pass, or outstanding. Any college examiner can use the marking scheme to accurately assess candidates’ knowledge and performance</w:t>
            </w:r>
          </w:p>
        </w:tc>
      </w:tr>
      <w:tr w:rsidR="00F05E40" w14:paraId="3A90F104" w14:textId="77777777" w:rsidTr="00BD6245">
        <w:tc>
          <w:tcPr>
            <w:tcW w:w="2550" w:type="dxa"/>
          </w:tcPr>
          <w:p w14:paraId="57EB04C1" w14:textId="207A9020" w:rsidR="00F05E40" w:rsidRDefault="00F05E40" w:rsidP="00F05E40">
            <w:pPr>
              <w:pStyle w:val="ListParagraph"/>
              <w:numPr>
                <w:ilvl w:val="0"/>
                <w:numId w:val="9"/>
              </w:numPr>
              <w:rPr>
                <w:lang w:val="en-US"/>
              </w:rPr>
            </w:pPr>
            <w:r>
              <w:rPr>
                <w:lang w:val="en-US"/>
              </w:rPr>
              <w:t xml:space="preserve">Conduct of </w:t>
            </w:r>
            <w:r w:rsidR="00784C83">
              <w:rPr>
                <w:lang w:val="en-US"/>
              </w:rPr>
              <w:t>oral examination</w:t>
            </w:r>
            <w:r>
              <w:rPr>
                <w:lang w:val="en-US"/>
              </w:rPr>
              <w:t xml:space="preserve"> – standardization</w:t>
            </w:r>
          </w:p>
        </w:tc>
        <w:tc>
          <w:tcPr>
            <w:tcW w:w="2095" w:type="dxa"/>
          </w:tcPr>
          <w:p w14:paraId="6E224D22" w14:textId="77777777" w:rsidR="00F05E40" w:rsidRDefault="00F05E40" w:rsidP="00977CCC">
            <w:pPr>
              <w:rPr>
                <w:lang w:val="en-US"/>
              </w:rPr>
            </w:pPr>
          </w:p>
        </w:tc>
        <w:tc>
          <w:tcPr>
            <w:tcW w:w="1866" w:type="dxa"/>
          </w:tcPr>
          <w:p w14:paraId="34F5F635" w14:textId="77777777" w:rsidR="00F05E40" w:rsidRDefault="00F05E40" w:rsidP="00977CCC">
            <w:pPr>
              <w:rPr>
                <w:lang w:val="en-US"/>
              </w:rPr>
            </w:pPr>
          </w:p>
        </w:tc>
        <w:tc>
          <w:tcPr>
            <w:tcW w:w="3265" w:type="dxa"/>
          </w:tcPr>
          <w:p w14:paraId="5AF3159C" w14:textId="208A8344" w:rsidR="00F05E40" w:rsidRDefault="00F05E40" w:rsidP="00977CCC">
            <w:pPr>
              <w:rPr>
                <w:lang w:val="en-US"/>
              </w:rPr>
            </w:pPr>
            <w:r>
              <w:rPr>
                <w:lang w:val="en-US"/>
              </w:rPr>
              <w:t xml:space="preserve">The conduct of </w:t>
            </w:r>
            <w:r w:rsidR="00784C83">
              <w:rPr>
                <w:lang w:val="en-US"/>
              </w:rPr>
              <w:t>oral examination</w:t>
            </w:r>
            <w:r>
              <w:rPr>
                <w:lang w:val="en-US"/>
              </w:rPr>
              <w:t xml:space="preserve"> is standard across all candidates, ranging from questioning technique, </w:t>
            </w:r>
            <w:r w:rsidR="00784C83">
              <w:rPr>
                <w:lang w:val="en-US"/>
              </w:rPr>
              <w:t>type of questions ask</w:t>
            </w:r>
            <w:r w:rsidR="004568CB">
              <w:rPr>
                <w:lang w:val="en-US"/>
              </w:rPr>
              <w:t>ed, and appropriate pacing to cover material</w:t>
            </w:r>
            <w:r w:rsidR="00784C83">
              <w:rPr>
                <w:lang w:val="en-US"/>
              </w:rPr>
              <w:t xml:space="preserve"> </w:t>
            </w:r>
          </w:p>
        </w:tc>
      </w:tr>
      <w:tr w:rsidR="00F05E40" w14:paraId="175A636F" w14:textId="77777777" w:rsidTr="00BD6245">
        <w:tc>
          <w:tcPr>
            <w:tcW w:w="2550" w:type="dxa"/>
          </w:tcPr>
          <w:p w14:paraId="657AFD25" w14:textId="59C8AE77" w:rsidR="00F05E40" w:rsidRDefault="00B56183" w:rsidP="00F05E40">
            <w:pPr>
              <w:pStyle w:val="ListParagraph"/>
              <w:numPr>
                <w:ilvl w:val="0"/>
                <w:numId w:val="9"/>
              </w:numPr>
              <w:rPr>
                <w:lang w:val="en-US"/>
              </w:rPr>
            </w:pPr>
            <w:r>
              <w:rPr>
                <w:lang w:val="en-US"/>
              </w:rPr>
              <w:t>Communication</w:t>
            </w:r>
          </w:p>
        </w:tc>
        <w:tc>
          <w:tcPr>
            <w:tcW w:w="2095" w:type="dxa"/>
          </w:tcPr>
          <w:p w14:paraId="3A4E545A" w14:textId="77777777" w:rsidR="00F05E40" w:rsidRDefault="00F05E40" w:rsidP="00977CCC">
            <w:pPr>
              <w:rPr>
                <w:lang w:val="en-US"/>
              </w:rPr>
            </w:pPr>
          </w:p>
        </w:tc>
        <w:tc>
          <w:tcPr>
            <w:tcW w:w="1866" w:type="dxa"/>
          </w:tcPr>
          <w:p w14:paraId="6A06C75A" w14:textId="77777777" w:rsidR="00F05E40" w:rsidRDefault="00F05E40" w:rsidP="00977CCC">
            <w:pPr>
              <w:rPr>
                <w:lang w:val="en-US"/>
              </w:rPr>
            </w:pPr>
          </w:p>
        </w:tc>
        <w:tc>
          <w:tcPr>
            <w:tcW w:w="3265" w:type="dxa"/>
          </w:tcPr>
          <w:p w14:paraId="211AAC8D" w14:textId="6B3E76BE" w:rsidR="00F05E40" w:rsidRDefault="002234FC" w:rsidP="00977CCC">
            <w:pPr>
              <w:rPr>
                <w:lang w:val="en-US"/>
              </w:rPr>
            </w:pPr>
            <w:r>
              <w:rPr>
                <w:lang w:val="en-US"/>
              </w:rPr>
              <w:t xml:space="preserve">Able to establish rapport, </w:t>
            </w:r>
            <w:r w:rsidR="00EC06B7">
              <w:rPr>
                <w:lang w:val="en-US"/>
              </w:rPr>
              <w:t xml:space="preserve">is </w:t>
            </w:r>
            <w:r>
              <w:rPr>
                <w:lang w:val="en-US"/>
              </w:rPr>
              <w:t>n</w:t>
            </w:r>
            <w:r w:rsidR="00F05E40">
              <w:rPr>
                <w:lang w:val="en-US"/>
              </w:rPr>
              <w:t>on-threatening and does not ask ambiguous questions</w:t>
            </w:r>
            <w:r w:rsidR="00EC06B7">
              <w:rPr>
                <w:lang w:val="en-US"/>
              </w:rPr>
              <w:t>;</w:t>
            </w:r>
            <w:r w:rsidR="00F05E40">
              <w:rPr>
                <w:lang w:val="en-US"/>
              </w:rPr>
              <w:t xml:space="preserve"> no inappropriate prompting of candidates</w:t>
            </w:r>
            <w:r w:rsidR="00EC06B7">
              <w:rPr>
                <w:lang w:val="en-US"/>
              </w:rPr>
              <w:t>, does not collaborate to provide answers</w:t>
            </w:r>
            <w:r w:rsidR="006846AB">
              <w:rPr>
                <w:lang w:val="en-US"/>
              </w:rPr>
              <w:t>; clarifies ambiguous answers</w:t>
            </w:r>
          </w:p>
        </w:tc>
      </w:tr>
      <w:tr w:rsidR="00F05E40" w14:paraId="517B41B1" w14:textId="77777777" w:rsidTr="00BD6245">
        <w:tc>
          <w:tcPr>
            <w:tcW w:w="2550" w:type="dxa"/>
          </w:tcPr>
          <w:p w14:paraId="01A5545F" w14:textId="77777777" w:rsidR="00F05E40" w:rsidRPr="00AC0879" w:rsidRDefault="00F05E40" w:rsidP="00F05E40">
            <w:pPr>
              <w:pStyle w:val="ListParagraph"/>
              <w:numPr>
                <w:ilvl w:val="0"/>
                <w:numId w:val="9"/>
              </w:numPr>
              <w:rPr>
                <w:lang w:val="en-US"/>
              </w:rPr>
            </w:pPr>
            <w:r>
              <w:rPr>
                <w:lang w:val="en-US"/>
              </w:rPr>
              <w:t>Scoring</w:t>
            </w:r>
          </w:p>
        </w:tc>
        <w:tc>
          <w:tcPr>
            <w:tcW w:w="2095" w:type="dxa"/>
          </w:tcPr>
          <w:p w14:paraId="3EA27915" w14:textId="77777777" w:rsidR="00F05E40" w:rsidRDefault="00F05E40" w:rsidP="00977CCC">
            <w:pPr>
              <w:rPr>
                <w:lang w:val="en-US"/>
              </w:rPr>
            </w:pPr>
          </w:p>
        </w:tc>
        <w:tc>
          <w:tcPr>
            <w:tcW w:w="1866" w:type="dxa"/>
          </w:tcPr>
          <w:p w14:paraId="7A0BF9C9" w14:textId="77777777" w:rsidR="00F05E40" w:rsidRDefault="00F05E40" w:rsidP="00977CCC">
            <w:pPr>
              <w:rPr>
                <w:lang w:val="en-US"/>
              </w:rPr>
            </w:pPr>
          </w:p>
        </w:tc>
        <w:tc>
          <w:tcPr>
            <w:tcW w:w="3265" w:type="dxa"/>
          </w:tcPr>
          <w:p w14:paraId="387A938C" w14:textId="77777777" w:rsidR="00F05E40" w:rsidRDefault="00F05E40" w:rsidP="00977CCC">
            <w:pPr>
              <w:rPr>
                <w:lang w:val="en-US"/>
              </w:rPr>
            </w:pPr>
            <w:r>
              <w:rPr>
                <w:lang w:val="en-US"/>
              </w:rPr>
              <w:t xml:space="preserve">The scoring of the answers </w:t>
            </w:r>
            <w:proofErr w:type="gramStart"/>
            <w:r>
              <w:rPr>
                <w:lang w:val="en-US"/>
              </w:rPr>
              <w:t>are</w:t>
            </w:r>
            <w:proofErr w:type="gramEnd"/>
            <w:r>
              <w:rPr>
                <w:lang w:val="en-US"/>
              </w:rPr>
              <w:t xml:space="preserve"> based on the marking scheme, and are unbiased and reasonable</w:t>
            </w:r>
          </w:p>
        </w:tc>
      </w:tr>
      <w:tr w:rsidR="00290FCA" w14:paraId="7A86BC8E" w14:textId="4F86C662" w:rsidTr="00BD6245">
        <w:tc>
          <w:tcPr>
            <w:tcW w:w="9776" w:type="dxa"/>
            <w:gridSpan w:val="4"/>
            <w:shd w:val="clear" w:color="auto" w:fill="AEAAAA" w:themeFill="background2" w:themeFillShade="BF"/>
          </w:tcPr>
          <w:p w14:paraId="00758754" w14:textId="5A1F903F" w:rsidR="00290FCA" w:rsidRDefault="007C077F" w:rsidP="00290FCA">
            <w:pPr>
              <w:rPr>
                <w:lang w:val="en-US"/>
              </w:rPr>
            </w:pPr>
            <w:r>
              <w:rPr>
                <w:lang w:val="en-US"/>
              </w:rPr>
              <w:t>Professionalism</w:t>
            </w:r>
          </w:p>
        </w:tc>
      </w:tr>
      <w:tr w:rsidR="003F1E48" w14:paraId="05B05431" w14:textId="77777777" w:rsidTr="00BD6245">
        <w:tc>
          <w:tcPr>
            <w:tcW w:w="2550" w:type="dxa"/>
          </w:tcPr>
          <w:p w14:paraId="2898CE21" w14:textId="26EB7F1B" w:rsidR="003F1E48" w:rsidRDefault="003F1E48" w:rsidP="00290FCA">
            <w:pPr>
              <w:pStyle w:val="ListParagraph"/>
              <w:numPr>
                <w:ilvl w:val="0"/>
                <w:numId w:val="5"/>
              </w:numPr>
              <w:rPr>
                <w:lang w:val="en-US"/>
              </w:rPr>
            </w:pPr>
            <w:r>
              <w:rPr>
                <w:lang w:val="en-US"/>
              </w:rPr>
              <w:t>Integrity</w:t>
            </w:r>
          </w:p>
        </w:tc>
        <w:tc>
          <w:tcPr>
            <w:tcW w:w="2095" w:type="dxa"/>
          </w:tcPr>
          <w:p w14:paraId="09289BB0" w14:textId="77777777" w:rsidR="003F1E48" w:rsidRDefault="003F1E48" w:rsidP="00290FCA">
            <w:pPr>
              <w:rPr>
                <w:lang w:val="en-US"/>
              </w:rPr>
            </w:pPr>
          </w:p>
        </w:tc>
        <w:tc>
          <w:tcPr>
            <w:tcW w:w="1866" w:type="dxa"/>
          </w:tcPr>
          <w:p w14:paraId="75E95E4A" w14:textId="77777777" w:rsidR="003F1E48" w:rsidRDefault="003F1E48" w:rsidP="00290FCA">
            <w:pPr>
              <w:rPr>
                <w:lang w:val="en-US"/>
              </w:rPr>
            </w:pPr>
          </w:p>
        </w:tc>
        <w:tc>
          <w:tcPr>
            <w:tcW w:w="3265" w:type="dxa"/>
          </w:tcPr>
          <w:p w14:paraId="14D3354C" w14:textId="066CCC71" w:rsidR="003F1E48" w:rsidRDefault="003F1E48" w:rsidP="00290FCA">
            <w:pPr>
              <w:rPr>
                <w:lang w:val="en-US"/>
              </w:rPr>
            </w:pPr>
            <w:r>
              <w:rPr>
                <w:lang w:val="en-US"/>
              </w:rPr>
              <w:t>Follows the code of conduct of examiner’s and is unbiased</w:t>
            </w:r>
          </w:p>
        </w:tc>
      </w:tr>
      <w:tr w:rsidR="003F1E48" w14:paraId="06110152" w14:textId="77777777" w:rsidTr="00BD6245">
        <w:tc>
          <w:tcPr>
            <w:tcW w:w="2550" w:type="dxa"/>
          </w:tcPr>
          <w:p w14:paraId="21EB9B21" w14:textId="2303725D" w:rsidR="003F1E48" w:rsidRDefault="007C077F" w:rsidP="00290FCA">
            <w:pPr>
              <w:pStyle w:val="ListParagraph"/>
              <w:numPr>
                <w:ilvl w:val="0"/>
                <w:numId w:val="5"/>
              </w:numPr>
              <w:rPr>
                <w:lang w:val="en-US"/>
              </w:rPr>
            </w:pPr>
            <w:r>
              <w:rPr>
                <w:lang w:val="en-US"/>
              </w:rPr>
              <w:t>Fairness</w:t>
            </w:r>
          </w:p>
        </w:tc>
        <w:tc>
          <w:tcPr>
            <w:tcW w:w="2095" w:type="dxa"/>
          </w:tcPr>
          <w:p w14:paraId="66AB14C2" w14:textId="77777777" w:rsidR="003F1E48" w:rsidRDefault="003F1E48" w:rsidP="00290FCA">
            <w:pPr>
              <w:rPr>
                <w:lang w:val="en-US"/>
              </w:rPr>
            </w:pPr>
          </w:p>
        </w:tc>
        <w:tc>
          <w:tcPr>
            <w:tcW w:w="1866" w:type="dxa"/>
          </w:tcPr>
          <w:p w14:paraId="4C48332A" w14:textId="77777777" w:rsidR="003F1E48" w:rsidRDefault="003F1E48" w:rsidP="00290FCA">
            <w:pPr>
              <w:rPr>
                <w:lang w:val="en-US"/>
              </w:rPr>
            </w:pPr>
          </w:p>
        </w:tc>
        <w:tc>
          <w:tcPr>
            <w:tcW w:w="3265" w:type="dxa"/>
          </w:tcPr>
          <w:p w14:paraId="08DFA030" w14:textId="42DB5E40" w:rsidR="003F1E48" w:rsidRDefault="003F1E48" w:rsidP="00290FCA">
            <w:pPr>
              <w:rPr>
                <w:lang w:val="en-US"/>
              </w:rPr>
            </w:pPr>
            <w:r>
              <w:rPr>
                <w:lang w:val="en-US"/>
              </w:rPr>
              <w:t>Demonstrates courtesy, fairness and non-discrimination towards all candidates and fellow examiners</w:t>
            </w:r>
          </w:p>
        </w:tc>
      </w:tr>
      <w:tr w:rsidR="00290FCA" w14:paraId="6FCE7E6E" w14:textId="37D5604E" w:rsidTr="00BD6245">
        <w:tc>
          <w:tcPr>
            <w:tcW w:w="2550" w:type="dxa"/>
          </w:tcPr>
          <w:p w14:paraId="71F5CAC5" w14:textId="220CCA11" w:rsidR="00290FCA" w:rsidRPr="009B6D6A" w:rsidRDefault="00C779FF" w:rsidP="00290FCA">
            <w:pPr>
              <w:pStyle w:val="ListParagraph"/>
              <w:numPr>
                <w:ilvl w:val="0"/>
                <w:numId w:val="5"/>
              </w:numPr>
              <w:rPr>
                <w:lang w:val="en-US"/>
              </w:rPr>
            </w:pPr>
            <w:r>
              <w:rPr>
                <w:lang w:val="en-US"/>
              </w:rPr>
              <w:t>Feedback</w:t>
            </w:r>
          </w:p>
        </w:tc>
        <w:tc>
          <w:tcPr>
            <w:tcW w:w="2095" w:type="dxa"/>
          </w:tcPr>
          <w:p w14:paraId="7D70EA03" w14:textId="77777777" w:rsidR="00290FCA" w:rsidRDefault="00290FCA" w:rsidP="00290FCA">
            <w:pPr>
              <w:rPr>
                <w:lang w:val="en-US"/>
              </w:rPr>
            </w:pPr>
          </w:p>
        </w:tc>
        <w:tc>
          <w:tcPr>
            <w:tcW w:w="1866" w:type="dxa"/>
          </w:tcPr>
          <w:p w14:paraId="2EF1F456" w14:textId="77777777" w:rsidR="00290FCA" w:rsidRDefault="00290FCA" w:rsidP="00290FCA">
            <w:pPr>
              <w:rPr>
                <w:lang w:val="en-US"/>
              </w:rPr>
            </w:pPr>
          </w:p>
        </w:tc>
        <w:tc>
          <w:tcPr>
            <w:tcW w:w="3265" w:type="dxa"/>
          </w:tcPr>
          <w:p w14:paraId="0FDC726C" w14:textId="78027351" w:rsidR="00290FCA" w:rsidRDefault="00C779FF" w:rsidP="00290FCA">
            <w:pPr>
              <w:rPr>
                <w:lang w:val="en-US"/>
              </w:rPr>
            </w:pPr>
            <w:r>
              <w:rPr>
                <w:lang w:val="en-US"/>
              </w:rPr>
              <w:t>Willingness to</w:t>
            </w:r>
            <w:r w:rsidR="003F1E48">
              <w:rPr>
                <w:lang w:val="en-US"/>
              </w:rPr>
              <w:t xml:space="preserve"> receiv</w:t>
            </w:r>
            <w:r>
              <w:rPr>
                <w:lang w:val="en-US"/>
              </w:rPr>
              <w:t>e</w:t>
            </w:r>
            <w:r w:rsidR="00F904AE">
              <w:rPr>
                <w:lang w:val="en-US"/>
              </w:rPr>
              <w:t xml:space="preserve"> feedback,</w:t>
            </w:r>
            <w:r w:rsidR="003F1E48">
              <w:rPr>
                <w:lang w:val="en-US"/>
              </w:rPr>
              <w:t xml:space="preserve"> or </w:t>
            </w:r>
            <w:r w:rsidR="00324B92">
              <w:rPr>
                <w:lang w:val="en-US"/>
              </w:rPr>
              <w:t xml:space="preserve">even </w:t>
            </w:r>
            <w:r w:rsidR="003F1E48">
              <w:rPr>
                <w:lang w:val="en-US"/>
              </w:rPr>
              <w:t>actively seek feedback, for</w:t>
            </w:r>
            <w:r w:rsidR="00F904AE">
              <w:rPr>
                <w:lang w:val="en-US"/>
              </w:rPr>
              <w:t xml:space="preserve"> continuous</w:t>
            </w:r>
            <w:r w:rsidR="003F1E48">
              <w:rPr>
                <w:lang w:val="en-US"/>
              </w:rPr>
              <w:t xml:space="preserve"> </w:t>
            </w:r>
            <w:r w:rsidR="00933AE3">
              <w:rPr>
                <w:lang w:val="en-US"/>
              </w:rPr>
              <w:t xml:space="preserve">development of </w:t>
            </w:r>
            <w:r w:rsidR="00F904AE">
              <w:rPr>
                <w:lang w:val="en-US"/>
              </w:rPr>
              <w:t xml:space="preserve">self and </w:t>
            </w:r>
            <w:r w:rsidR="00933AE3">
              <w:rPr>
                <w:lang w:val="en-US"/>
              </w:rPr>
              <w:t>high standards for HKCA examinations</w:t>
            </w:r>
          </w:p>
        </w:tc>
      </w:tr>
      <w:tr w:rsidR="00290FCA" w14:paraId="0250A091" w14:textId="171E4F43" w:rsidTr="00BD6245">
        <w:tc>
          <w:tcPr>
            <w:tcW w:w="2550" w:type="dxa"/>
          </w:tcPr>
          <w:p w14:paraId="5FD54037" w14:textId="63C85D74" w:rsidR="00290FCA" w:rsidRPr="009B6D6A" w:rsidRDefault="00290FCA" w:rsidP="00290FCA">
            <w:pPr>
              <w:pStyle w:val="ListParagraph"/>
              <w:numPr>
                <w:ilvl w:val="0"/>
                <w:numId w:val="5"/>
              </w:numPr>
              <w:rPr>
                <w:lang w:val="en-US"/>
              </w:rPr>
            </w:pPr>
            <w:r>
              <w:rPr>
                <w:lang w:val="en-US"/>
              </w:rPr>
              <w:t xml:space="preserve">Team player </w:t>
            </w:r>
          </w:p>
        </w:tc>
        <w:tc>
          <w:tcPr>
            <w:tcW w:w="2095" w:type="dxa"/>
          </w:tcPr>
          <w:p w14:paraId="130D5A5F" w14:textId="77777777" w:rsidR="00290FCA" w:rsidRDefault="00290FCA" w:rsidP="00290FCA">
            <w:pPr>
              <w:rPr>
                <w:lang w:val="en-US"/>
              </w:rPr>
            </w:pPr>
          </w:p>
        </w:tc>
        <w:tc>
          <w:tcPr>
            <w:tcW w:w="1866" w:type="dxa"/>
          </w:tcPr>
          <w:p w14:paraId="4E6076A1" w14:textId="77777777" w:rsidR="00290FCA" w:rsidRDefault="00290FCA" w:rsidP="00290FCA">
            <w:pPr>
              <w:rPr>
                <w:lang w:val="en-US"/>
              </w:rPr>
            </w:pPr>
          </w:p>
        </w:tc>
        <w:tc>
          <w:tcPr>
            <w:tcW w:w="3265" w:type="dxa"/>
          </w:tcPr>
          <w:p w14:paraId="00D36F65" w14:textId="5F4009AA" w:rsidR="00290FCA" w:rsidRDefault="00B65B89" w:rsidP="00290FCA">
            <w:pPr>
              <w:rPr>
                <w:lang w:val="en-US"/>
              </w:rPr>
            </w:pPr>
            <w:r>
              <w:rPr>
                <w:lang w:val="en-US"/>
              </w:rPr>
              <w:t xml:space="preserve">Collegiate, positive attitude and ability to form excellent working relationships </w:t>
            </w:r>
            <w:r w:rsidR="00324B92">
              <w:rPr>
                <w:lang w:val="en-US"/>
              </w:rPr>
              <w:t>with</w:t>
            </w:r>
            <w:r>
              <w:rPr>
                <w:lang w:val="en-US"/>
              </w:rPr>
              <w:t xml:space="preserve"> </w:t>
            </w:r>
            <w:r>
              <w:rPr>
                <w:lang w:val="en-US"/>
              </w:rPr>
              <w:lastRenderedPageBreak/>
              <w:t>fellow examiners and administrative staff</w:t>
            </w:r>
          </w:p>
        </w:tc>
      </w:tr>
      <w:tr w:rsidR="00290FCA" w14:paraId="012B30B2" w14:textId="4A65360E" w:rsidTr="00BD6245">
        <w:tc>
          <w:tcPr>
            <w:tcW w:w="2550" w:type="dxa"/>
          </w:tcPr>
          <w:p w14:paraId="6A2C9B09" w14:textId="3C2F80F1" w:rsidR="00290FCA" w:rsidRPr="009B6D6A" w:rsidRDefault="00290FCA" w:rsidP="00290FCA">
            <w:pPr>
              <w:pStyle w:val="ListParagraph"/>
              <w:numPr>
                <w:ilvl w:val="0"/>
                <w:numId w:val="5"/>
              </w:numPr>
              <w:rPr>
                <w:lang w:val="en-US"/>
              </w:rPr>
            </w:pPr>
            <w:r>
              <w:rPr>
                <w:lang w:val="en-US"/>
              </w:rPr>
              <w:lastRenderedPageBreak/>
              <w:t>Timely submission of exam material</w:t>
            </w:r>
          </w:p>
        </w:tc>
        <w:tc>
          <w:tcPr>
            <w:tcW w:w="2095" w:type="dxa"/>
          </w:tcPr>
          <w:p w14:paraId="4C44A999" w14:textId="77777777" w:rsidR="00290FCA" w:rsidRDefault="00290FCA" w:rsidP="00290FCA">
            <w:pPr>
              <w:rPr>
                <w:lang w:val="en-US"/>
              </w:rPr>
            </w:pPr>
          </w:p>
        </w:tc>
        <w:tc>
          <w:tcPr>
            <w:tcW w:w="1866" w:type="dxa"/>
          </w:tcPr>
          <w:p w14:paraId="3F0BE55C" w14:textId="77777777" w:rsidR="00290FCA" w:rsidRDefault="00290FCA" w:rsidP="00290FCA">
            <w:pPr>
              <w:rPr>
                <w:lang w:val="en-US"/>
              </w:rPr>
            </w:pPr>
          </w:p>
        </w:tc>
        <w:tc>
          <w:tcPr>
            <w:tcW w:w="3265" w:type="dxa"/>
          </w:tcPr>
          <w:p w14:paraId="27D7920D" w14:textId="52A0FB5A" w:rsidR="00290FCA" w:rsidRDefault="009827FA" w:rsidP="00290FCA">
            <w:pPr>
              <w:rPr>
                <w:lang w:val="en-US"/>
              </w:rPr>
            </w:pPr>
            <w:r>
              <w:rPr>
                <w:lang w:val="en-US"/>
              </w:rPr>
              <w:t>Able to meet deadlines for submissions and responsive to enquiries from exam coordinators or college administrators</w:t>
            </w:r>
          </w:p>
        </w:tc>
      </w:tr>
    </w:tbl>
    <w:p w14:paraId="2F18E83D" w14:textId="4B9338EE" w:rsidR="00527BB3" w:rsidRDefault="00527BB3" w:rsidP="00DC7D03">
      <w:pPr>
        <w:tabs>
          <w:tab w:val="left" w:pos="5178"/>
        </w:tabs>
        <w:rPr>
          <w:lang w:val="en-US"/>
        </w:rPr>
      </w:pPr>
    </w:p>
    <w:sectPr w:rsidR="00527BB3" w:rsidSect="00B57D5E">
      <w:footerReference w:type="default" r:id="rId7"/>
      <w:pgSz w:w="11900" w:h="16840"/>
      <w:pgMar w:top="426" w:right="1440" w:bottom="709" w:left="1440" w:header="708" w:footer="4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93ABD" w14:textId="77777777" w:rsidR="00527BB3" w:rsidRDefault="00527BB3" w:rsidP="00527BB3">
      <w:r>
        <w:separator/>
      </w:r>
    </w:p>
  </w:endnote>
  <w:endnote w:type="continuationSeparator" w:id="0">
    <w:p w14:paraId="1F7945DB" w14:textId="77777777" w:rsidR="00527BB3" w:rsidRDefault="00527BB3" w:rsidP="0052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 ding">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4979541"/>
      <w:docPartObj>
        <w:docPartGallery w:val="Page Numbers (Bottom of Page)"/>
        <w:docPartUnique/>
      </w:docPartObj>
    </w:sdtPr>
    <w:sdtEndPr>
      <w:rPr>
        <w:noProof/>
      </w:rPr>
    </w:sdtEndPr>
    <w:sdtContent>
      <w:p w14:paraId="474C6C53" w14:textId="38A17E2C" w:rsidR="00527BB3" w:rsidRDefault="00527BB3">
        <w:pPr>
          <w:pStyle w:val="Footer"/>
          <w:jc w:val="center"/>
        </w:pPr>
        <w:r w:rsidRPr="00527BB3">
          <w:rPr>
            <w:sz w:val="20"/>
            <w:szCs w:val="20"/>
          </w:rPr>
          <w:t xml:space="preserve">P. </w:t>
        </w:r>
        <w:r w:rsidRPr="00527BB3">
          <w:rPr>
            <w:sz w:val="20"/>
            <w:szCs w:val="20"/>
          </w:rPr>
          <w:fldChar w:fldCharType="begin"/>
        </w:r>
        <w:r w:rsidRPr="00527BB3">
          <w:rPr>
            <w:sz w:val="20"/>
            <w:szCs w:val="20"/>
          </w:rPr>
          <w:instrText xml:space="preserve"> PAGE   \* MERGEFORMAT </w:instrText>
        </w:r>
        <w:r w:rsidRPr="00527BB3">
          <w:rPr>
            <w:sz w:val="20"/>
            <w:szCs w:val="20"/>
          </w:rPr>
          <w:fldChar w:fldCharType="separate"/>
        </w:r>
        <w:r w:rsidRPr="00527BB3">
          <w:rPr>
            <w:noProof/>
            <w:sz w:val="20"/>
            <w:szCs w:val="20"/>
          </w:rPr>
          <w:t>2</w:t>
        </w:r>
        <w:r w:rsidRPr="00527BB3">
          <w:rPr>
            <w:noProof/>
            <w:sz w:val="20"/>
            <w:szCs w:val="20"/>
          </w:rPr>
          <w:fldChar w:fldCharType="end"/>
        </w:r>
      </w:p>
    </w:sdtContent>
  </w:sdt>
  <w:p w14:paraId="2EE8776D" w14:textId="77777777" w:rsidR="00527BB3" w:rsidRDefault="00527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E9F1" w14:textId="77777777" w:rsidR="00527BB3" w:rsidRDefault="00527BB3" w:rsidP="00527BB3">
      <w:r>
        <w:separator/>
      </w:r>
    </w:p>
  </w:footnote>
  <w:footnote w:type="continuationSeparator" w:id="0">
    <w:p w14:paraId="79E69CA1" w14:textId="77777777" w:rsidR="00527BB3" w:rsidRDefault="00527BB3" w:rsidP="00527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F1C97"/>
    <w:multiLevelType w:val="hybridMultilevel"/>
    <w:tmpl w:val="2E46912E"/>
    <w:lvl w:ilvl="0" w:tplc="E9B8DB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C97E1A"/>
    <w:multiLevelType w:val="hybridMultilevel"/>
    <w:tmpl w:val="98626A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0D6EF1"/>
    <w:multiLevelType w:val="hybridMultilevel"/>
    <w:tmpl w:val="0BAE6A04"/>
    <w:lvl w:ilvl="0" w:tplc="059ED9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4738AB"/>
    <w:multiLevelType w:val="hybridMultilevel"/>
    <w:tmpl w:val="98626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3C23295"/>
    <w:multiLevelType w:val="hybridMultilevel"/>
    <w:tmpl w:val="98626A3E"/>
    <w:lvl w:ilvl="0" w:tplc="AF04A8A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2C1C8B"/>
    <w:multiLevelType w:val="hybridMultilevel"/>
    <w:tmpl w:val="98626A3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52D2992"/>
    <w:multiLevelType w:val="hybridMultilevel"/>
    <w:tmpl w:val="8E640532"/>
    <w:lvl w:ilvl="0" w:tplc="422CED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7306392"/>
    <w:multiLevelType w:val="hybridMultilevel"/>
    <w:tmpl w:val="D99A660C"/>
    <w:lvl w:ilvl="0" w:tplc="A6EC5C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7390A31"/>
    <w:multiLevelType w:val="hybridMultilevel"/>
    <w:tmpl w:val="24007DB2"/>
    <w:lvl w:ilvl="0" w:tplc="09823B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0"/>
  </w:num>
  <w:num w:numId="5">
    <w:abstractNumId w:val="6"/>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6A"/>
    <w:rsid w:val="000039F3"/>
    <w:rsid w:val="000113E7"/>
    <w:rsid w:val="000243D5"/>
    <w:rsid w:val="00037761"/>
    <w:rsid w:val="00070F82"/>
    <w:rsid w:val="0008650B"/>
    <w:rsid w:val="0009603B"/>
    <w:rsid w:val="001C22DD"/>
    <w:rsid w:val="002234FC"/>
    <w:rsid w:val="0023346A"/>
    <w:rsid w:val="00290FCA"/>
    <w:rsid w:val="00294976"/>
    <w:rsid w:val="00324B92"/>
    <w:rsid w:val="00333A86"/>
    <w:rsid w:val="00343366"/>
    <w:rsid w:val="00346688"/>
    <w:rsid w:val="00347E4D"/>
    <w:rsid w:val="003660EA"/>
    <w:rsid w:val="003F1E48"/>
    <w:rsid w:val="004568CB"/>
    <w:rsid w:val="004B3CCC"/>
    <w:rsid w:val="00527BB3"/>
    <w:rsid w:val="00566C78"/>
    <w:rsid w:val="00657DE5"/>
    <w:rsid w:val="006819B6"/>
    <w:rsid w:val="006846AB"/>
    <w:rsid w:val="00734583"/>
    <w:rsid w:val="00784C83"/>
    <w:rsid w:val="007C077F"/>
    <w:rsid w:val="007D3B16"/>
    <w:rsid w:val="00821D00"/>
    <w:rsid w:val="00867409"/>
    <w:rsid w:val="008976CC"/>
    <w:rsid w:val="00913D3E"/>
    <w:rsid w:val="00931057"/>
    <w:rsid w:val="00933AE3"/>
    <w:rsid w:val="00953F14"/>
    <w:rsid w:val="00982393"/>
    <w:rsid w:val="009827FA"/>
    <w:rsid w:val="0099056E"/>
    <w:rsid w:val="009B6D6A"/>
    <w:rsid w:val="00A77615"/>
    <w:rsid w:val="00AC0879"/>
    <w:rsid w:val="00B15BED"/>
    <w:rsid w:val="00B56183"/>
    <w:rsid w:val="00B57D5E"/>
    <w:rsid w:val="00B65B89"/>
    <w:rsid w:val="00BD6245"/>
    <w:rsid w:val="00C42CBB"/>
    <w:rsid w:val="00C779FF"/>
    <w:rsid w:val="00CC7EBC"/>
    <w:rsid w:val="00D06B33"/>
    <w:rsid w:val="00D40885"/>
    <w:rsid w:val="00DC7D03"/>
    <w:rsid w:val="00DF6185"/>
    <w:rsid w:val="00E31E5F"/>
    <w:rsid w:val="00E36EA7"/>
    <w:rsid w:val="00E94358"/>
    <w:rsid w:val="00EC06B7"/>
    <w:rsid w:val="00EE7A94"/>
    <w:rsid w:val="00F05E40"/>
    <w:rsid w:val="00F44AE1"/>
    <w:rsid w:val="00F5689B"/>
    <w:rsid w:val="00F904AE"/>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EBD63"/>
  <w15:chartTrackingRefBased/>
  <w15:docId w15:val="{1658EC7A-C4F9-9F4F-BE81-00DCF15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2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D3E"/>
    <w:pPr>
      <w:ind w:left="720"/>
      <w:contextualSpacing/>
    </w:pPr>
  </w:style>
  <w:style w:type="paragraph" w:styleId="Header">
    <w:name w:val="header"/>
    <w:basedOn w:val="Normal"/>
    <w:link w:val="HeaderChar"/>
    <w:uiPriority w:val="99"/>
    <w:unhideWhenUsed/>
    <w:rsid w:val="00527BB3"/>
    <w:pPr>
      <w:tabs>
        <w:tab w:val="center" w:pos="4513"/>
        <w:tab w:val="right" w:pos="9026"/>
      </w:tabs>
    </w:pPr>
  </w:style>
  <w:style w:type="character" w:customStyle="1" w:styleId="HeaderChar">
    <w:name w:val="Header Char"/>
    <w:basedOn w:val="DefaultParagraphFont"/>
    <w:link w:val="Header"/>
    <w:uiPriority w:val="99"/>
    <w:rsid w:val="00527BB3"/>
  </w:style>
  <w:style w:type="paragraph" w:styleId="Footer">
    <w:name w:val="footer"/>
    <w:basedOn w:val="Normal"/>
    <w:link w:val="FooterChar"/>
    <w:uiPriority w:val="99"/>
    <w:unhideWhenUsed/>
    <w:rsid w:val="00527BB3"/>
    <w:pPr>
      <w:tabs>
        <w:tab w:val="center" w:pos="4513"/>
        <w:tab w:val="right" w:pos="9026"/>
      </w:tabs>
    </w:pPr>
  </w:style>
  <w:style w:type="character" w:customStyle="1" w:styleId="FooterChar">
    <w:name w:val="Footer Char"/>
    <w:basedOn w:val="DefaultParagraphFont"/>
    <w:link w:val="Footer"/>
    <w:uiPriority w:val="99"/>
    <w:rsid w:val="0052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Chan (AIC)</dc:creator>
  <cp:keywords/>
  <dc:description/>
  <cp:lastModifiedBy>Kristy</cp:lastModifiedBy>
  <cp:revision>60</cp:revision>
  <dcterms:created xsi:type="dcterms:W3CDTF">2022-07-20T06:06:00Z</dcterms:created>
  <dcterms:modified xsi:type="dcterms:W3CDTF">2023-03-16T06:02:00Z</dcterms:modified>
</cp:coreProperties>
</file>